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44"/>
          <w:szCs w:val="44"/>
          <w:highlight w:val="none"/>
        </w:rPr>
      </w:pPr>
      <w:bookmarkStart w:id="9" w:name="_GoBack"/>
    </w:p>
    <w:p>
      <w:pPr>
        <w:pStyle w:val="2"/>
        <w:ind w:left="0" w:leftChars="0" w:firstLine="0" w:firstLineChars="0"/>
        <w:rPr>
          <w:rFonts w:hint="eastAsia"/>
          <w:highlight w:val="none"/>
        </w:rPr>
      </w:pPr>
      <w:r>
        <w:rPr>
          <w:rFonts w:hint="eastAsia" w:hAnsi="宋体"/>
          <w:b w:val="0"/>
          <w:bCs/>
          <w:color w:val="FF0000"/>
          <w:sz w:val="48"/>
          <w:szCs w:val="48"/>
          <w:highlight w:val="none"/>
          <w:lang w:val="en-US" w:eastAsia="zh-CN"/>
        </w:rPr>
        <w:t>福泉高速公路沿线绿化提升项目-文创雕塑</w:t>
      </w:r>
    </w:p>
    <w:p>
      <w:pPr>
        <w:jc w:val="center"/>
        <w:rPr>
          <w:rFonts w:hint="eastAsia" w:ascii="仿宋_GB2312" w:hAnsi="宋体" w:eastAsia="仿宋_GB2312"/>
          <w:b/>
          <w:bCs/>
          <w:sz w:val="36"/>
          <w:szCs w:val="28"/>
          <w:highlight w:val="none"/>
          <w:u w:val="single"/>
        </w:rPr>
      </w:pPr>
    </w:p>
    <w:p>
      <w:pPr>
        <w:pStyle w:val="2"/>
        <w:rPr>
          <w:rFonts w:hint="eastAsia"/>
          <w:highlight w:val="none"/>
        </w:rPr>
      </w:pPr>
    </w:p>
    <w:p>
      <w:pPr>
        <w:jc w:val="center"/>
        <w:rPr>
          <w:rFonts w:hint="eastAsia"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firstLine="400"/>
        <w:rPr>
          <w:highlight w:val="none"/>
        </w:rPr>
      </w:pPr>
    </w:p>
    <w:p>
      <w:pPr>
        <w:pStyle w:val="2"/>
        <w:ind w:firstLine="400"/>
        <w:rPr>
          <w:rFonts w:hint="eastAsia"/>
          <w:highlight w:val="none"/>
        </w:rPr>
      </w:pPr>
    </w:p>
    <w:p>
      <w:pPr>
        <w:jc w:val="center"/>
        <w:rPr>
          <w:rFonts w:hint="default" w:ascii="仿宋_GB2312" w:hAnsi="宋体" w:eastAsia="仿宋_GB2312"/>
          <w:b/>
          <w:bCs/>
          <w:sz w:val="40"/>
          <w:szCs w:val="40"/>
          <w:highlight w:val="none"/>
          <w:lang w:val="en-US" w:eastAsia="zh-CN"/>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val="en-US" w:eastAsia="zh-CN"/>
        </w:rPr>
        <w:t>XM1Z-2022-008</w:t>
      </w: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spacing w:line="480" w:lineRule="auto"/>
        <w:ind w:firstLine="1084" w:firstLineChars="300"/>
        <w:jc w:val="both"/>
        <w:rPr>
          <w:rFonts w:hint="eastAsia" w:ascii="黑体" w:hAnsi="新宋体" w:eastAsia="黑体"/>
          <w:b/>
          <w:sz w:val="36"/>
          <w:szCs w:val="36"/>
          <w:highlight w:val="none"/>
        </w:rPr>
      </w:pPr>
      <w:r>
        <w:rPr>
          <w:rFonts w:hint="eastAsia" w:ascii="黑体" w:hAnsi="新宋体" w:eastAsia="黑体"/>
          <w:b/>
          <w:sz w:val="36"/>
          <w:szCs w:val="36"/>
          <w:highlight w:val="none"/>
        </w:rPr>
        <w:t>采购人：福州川达公路养护工程有限公司</w:t>
      </w:r>
    </w:p>
    <w:p>
      <w:pPr>
        <w:spacing w:line="480" w:lineRule="auto"/>
        <w:ind w:firstLine="1084" w:firstLineChars="300"/>
        <w:jc w:val="both"/>
        <w:rPr>
          <w:rFonts w:hint="eastAsia" w:ascii="黑体" w:hAnsi="新宋体" w:eastAsia="黑体"/>
          <w:b/>
          <w:sz w:val="36"/>
          <w:szCs w:val="36"/>
          <w:highlight w:val="none"/>
        </w:rPr>
      </w:pPr>
      <w:r>
        <w:rPr>
          <w:rFonts w:hint="eastAsia" w:ascii="黑体" w:hAnsi="新宋体" w:eastAsia="黑体"/>
          <w:b/>
          <w:sz w:val="36"/>
          <w:szCs w:val="36"/>
          <w:highlight w:val="none"/>
        </w:rPr>
        <w:t>福建省高速公路养护工程有限公司项目经理部一</w:t>
      </w:r>
    </w:p>
    <w:p>
      <w:pPr>
        <w:pStyle w:val="2"/>
        <w:ind w:firstLine="400"/>
        <w:rPr>
          <w:highlight w:val="none"/>
        </w:rPr>
      </w:pPr>
    </w:p>
    <w:p>
      <w:pPr>
        <w:pStyle w:val="2"/>
        <w:ind w:firstLine="400"/>
        <w:rPr>
          <w:rFonts w:hint="eastAsia"/>
          <w:highlight w:val="none"/>
        </w:rPr>
      </w:pPr>
    </w:p>
    <w:p>
      <w:pPr>
        <w:spacing w:line="480" w:lineRule="auto"/>
        <w:jc w:val="center"/>
        <w:rPr>
          <w:rFonts w:hint="eastAsia"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7</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rPr>
          <w:rFonts w:hint="eastAsia" w:ascii="仿宋_GB2312" w:hAnsi="宋体" w:eastAsia="仿宋_GB2312"/>
          <w:b/>
          <w:bCs/>
          <w:sz w:val="48"/>
          <w:szCs w:val="48"/>
          <w:highlight w:val="none"/>
        </w:rPr>
      </w:pPr>
    </w:p>
    <w:p>
      <w:pPr>
        <w:jc w:val="center"/>
        <w:rPr>
          <w:rFonts w:hint="eastAsia"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hint="eastAsia" w:ascii="仿宋_GB2312" w:hAnsi="宋体" w:eastAsia="仿宋_GB2312"/>
          <w:b/>
          <w:bCs/>
          <w:sz w:val="32"/>
          <w:szCs w:val="28"/>
          <w:highlight w:val="none"/>
        </w:rPr>
      </w:pPr>
    </w:p>
    <w:p>
      <w:pPr>
        <w:spacing w:line="7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三、评标办法及标准</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8"/>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最高控制价</w:t>
      </w:r>
      <w:r>
        <w:rPr>
          <w:rFonts w:hint="eastAsia" w:ascii="仿宋_GB2312" w:hAnsi="宋体" w:eastAsia="仿宋_GB2312"/>
          <w:sz w:val="32"/>
          <w:szCs w:val="32"/>
          <w:highlight w:val="none"/>
        </w:rPr>
        <w:t>工程量清单</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8"/>
        <w:spacing w:line="700" w:lineRule="exact"/>
        <w:ind w:left="0" w:leftChars="0" w:firstLine="640" w:firstLineChars="200"/>
        <w:rPr>
          <w:rFonts w:hint="eastAsia"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7"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500" w:lineRule="exact"/>
        <w:ind w:firstLine="562" w:firstLineChars="200"/>
        <w:jc w:val="left"/>
        <w:rPr>
          <w:rFonts w:eastAsia="仿宋"/>
          <w:b/>
          <w:bCs/>
          <w:sz w:val="28"/>
          <w:szCs w:val="28"/>
          <w:highlight w:val="none"/>
        </w:rPr>
      </w:pP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rPr>
        <w:t>福泉高速公路沿线绿化提升项目-文创雕塑</w:t>
      </w:r>
      <w:r>
        <w:rPr>
          <w:rFonts w:eastAsia="仿宋"/>
          <w:sz w:val="28"/>
          <w:szCs w:val="28"/>
          <w:highlight w:val="none"/>
        </w:rPr>
        <w:t>已经批准建设，建设资金已落实。本项目采用</w:t>
      </w:r>
      <w:r>
        <w:rPr>
          <w:rFonts w:hint="eastAsia" w:eastAsia="仿宋"/>
          <w:sz w:val="28"/>
          <w:szCs w:val="28"/>
          <w:highlight w:val="none"/>
        </w:rPr>
        <w:t>劳务协作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rPr>
        <w:t>XM1Z-2022-008</w:t>
      </w:r>
      <w:r>
        <w:rPr>
          <w:rFonts w:hint="eastAsia" w:eastAsia="仿宋"/>
          <w:sz w:val="28"/>
          <w:szCs w:val="28"/>
          <w:highlight w:val="none"/>
          <w:lang w:val="en-US" w:eastAsia="zh-CN"/>
        </w:rPr>
        <w:t xml:space="preserve"> </w:t>
      </w:r>
    </w:p>
    <w:p>
      <w:pPr>
        <w:spacing w:line="400" w:lineRule="exact"/>
        <w:ind w:firstLine="560" w:firstLineChars="200"/>
        <w:jc w:val="left"/>
        <w:rPr>
          <w:rFonts w:hint="eastAsia" w:eastAsia="仿宋"/>
          <w:color w:val="FF0000"/>
          <w:sz w:val="28"/>
          <w:szCs w:val="28"/>
          <w:highlight w:val="none"/>
          <w:u w:val="single"/>
          <w:lang w:eastAsia="zh-CN"/>
        </w:rPr>
      </w:pPr>
      <w:r>
        <w:rPr>
          <w:rFonts w:eastAsia="仿宋"/>
          <w:sz w:val="28"/>
          <w:szCs w:val="28"/>
          <w:highlight w:val="none"/>
        </w:rPr>
        <w:t>（二）项目</w:t>
      </w:r>
      <w:r>
        <w:rPr>
          <w:rFonts w:hint="eastAsia" w:eastAsia="仿宋"/>
          <w:sz w:val="28"/>
          <w:szCs w:val="28"/>
          <w:highlight w:val="none"/>
        </w:rPr>
        <w:t>名称：</w:t>
      </w:r>
      <w:r>
        <w:rPr>
          <w:rFonts w:hint="eastAsia" w:eastAsia="仿宋"/>
          <w:color w:val="FF0000"/>
          <w:sz w:val="28"/>
          <w:szCs w:val="28"/>
          <w:highlight w:val="none"/>
          <w:u w:val="single"/>
          <w:lang w:val="en-US" w:eastAsia="zh-CN"/>
        </w:rPr>
        <w:t>福泉高速公路沿线绿化提升项目-文创雕塑</w:t>
      </w:r>
      <w:r>
        <w:rPr>
          <w:rFonts w:hint="eastAsia" w:eastAsia="仿宋"/>
          <w:color w:val="FF0000"/>
          <w:sz w:val="28"/>
          <w:szCs w:val="28"/>
          <w:highlight w:val="none"/>
          <w:u w:val="single"/>
          <w:lang w:eastAsia="zh-CN"/>
        </w:rPr>
        <w:t>采购项目</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w:t>
      </w:r>
      <w:r>
        <w:rPr>
          <w:rFonts w:hint="eastAsia" w:eastAsia="仿宋"/>
          <w:sz w:val="28"/>
          <w:szCs w:val="28"/>
          <w:highlight w:val="none"/>
          <w:u w:val="single"/>
          <w:lang w:eastAsia="zh-CN"/>
        </w:rPr>
        <w:t>福泉高速公路雷打石隧道口、</w:t>
      </w:r>
      <w:r>
        <w:rPr>
          <w:rFonts w:hint="eastAsia" w:eastAsia="仿宋"/>
          <w:sz w:val="28"/>
          <w:szCs w:val="28"/>
          <w:highlight w:val="none"/>
          <w:u w:val="single"/>
          <w:lang w:val="en-US" w:eastAsia="zh-CN"/>
        </w:rPr>
        <w:t>BK2101、镜阳互通三角区等</w:t>
      </w:r>
      <w:r>
        <w:rPr>
          <w:rFonts w:hint="eastAsia" w:eastAsia="仿宋"/>
          <w:sz w:val="28"/>
          <w:szCs w:val="28"/>
          <w:highlight w:val="none"/>
          <w:u w:val="single"/>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color w:val="FF0000"/>
          <w:sz w:val="28"/>
          <w:szCs w:val="28"/>
          <w:highlight w:val="none"/>
          <w:u w:val="single"/>
        </w:rPr>
      </w:pPr>
      <w:r>
        <w:rPr>
          <w:rFonts w:hint="eastAsia" w:eastAsia="仿宋"/>
          <w:sz w:val="28"/>
          <w:szCs w:val="28"/>
          <w:highlight w:val="none"/>
          <w:u w:val="single"/>
        </w:rPr>
        <w:t>主要工程量（暂定）：</w:t>
      </w:r>
      <w:r>
        <w:rPr>
          <w:rFonts w:hint="eastAsia" w:eastAsia="仿宋"/>
          <w:color w:val="FF0000"/>
          <w:sz w:val="28"/>
          <w:szCs w:val="28"/>
          <w:highlight w:val="none"/>
          <w:u w:val="single"/>
          <w:lang w:val="en-US" w:eastAsia="zh-CN"/>
        </w:rPr>
        <w:t>扬帆起航雕塑一个，片石群一组，帆船雕塑四组，不锈钢帆船雕塑2组，雪浪石10个，仙鹤雕塑三组，具体详见图纸</w:t>
      </w:r>
      <w:r>
        <w:rPr>
          <w:rFonts w:hint="eastAsia" w:eastAsia="仿宋"/>
          <w:color w:val="FF0000"/>
          <w:sz w:val="28"/>
          <w:szCs w:val="28"/>
          <w:highlight w:val="none"/>
          <w:u w:val="single"/>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sz w:val="28"/>
          <w:szCs w:val="28"/>
          <w:highlight w:val="none"/>
          <w:lang w:eastAsia="zh-CN"/>
        </w:rPr>
      </w:pPr>
      <w:r>
        <w:rPr>
          <w:rFonts w:hint="eastAsia" w:eastAsia="仿宋"/>
          <w:sz w:val="28"/>
          <w:szCs w:val="28"/>
          <w:highlight w:val="none"/>
          <w:u w:val="none"/>
          <w:lang w:eastAsia="zh-CN"/>
        </w:rPr>
        <w:t>（</w:t>
      </w:r>
      <w:r>
        <w:rPr>
          <w:rFonts w:hint="eastAsia" w:eastAsia="仿宋"/>
          <w:sz w:val="28"/>
          <w:szCs w:val="28"/>
          <w:highlight w:val="none"/>
          <w:u w:val="none"/>
          <w:lang w:val="en-US" w:eastAsia="zh-CN"/>
        </w:rPr>
        <w:t>四</w:t>
      </w:r>
      <w:r>
        <w:rPr>
          <w:rFonts w:hint="eastAsia" w:eastAsia="仿宋"/>
          <w:sz w:val="28"/>
          <w:szCs w:val="28"/>
          <w:highlight w:val="none"/>
          <w:u w:val="none"/>
          <w:lang w:eastAsia="zh-CN"/>
        </w:rPr>
        <w:t>）</w:t>
      </w:r>
      <w:r>
        <w:rPr>
          <w:rFonts w:hint="eastAsia" w:eastAsia="仿宋"/>
          <w:sz w:val="28"/>
          <w:szCs w:val="28"/>
          <w:highlight w:val="none"/>
          <w:lang w:eastAsia="zh-CN"/>
        </w:rPr>
        <w:t>合同段</w:t>
      </w:r>
      <w:r>
        <w:rPr>
          <w:rFonts w:hint="eastAsia" w:eastAsia="仿宋"/>
          <w:sz w:val="28"/>
          <w:szCs w:val="28"/>
          <w:highlight w:val="none"/>
        </w:rPr>
        <w:t>划分：</w:t>
      </w:r>
      <w:r>
        <w:rPr>
          <w:rFonts w:hint="eastAsia" w:eastAsia="仿宋"/>
          <w:sz w:val="28"/>
          <w:szCs w:val="28"/>
          <w:highlight w:val="none"/>
          <w:u w:val="single"/>
          <w:lang w:val="en-US" w:eastAsia="zh-CN"/>
        </w:rPr>
        <w:t>1</w:t>
      </w:r>
      <w:r>
        <w:rPr>
          <w:rFonts w:hint="eastAsia" w:eastAsia="仿宋"/>
          <w:sz w:val="28"/>
          <w:szCs w:val="28"/>
          <w:highlight w:val="none"/>
        </w:rPr>
        <w:t>个</w:t>
      </w:r>
      <w:r>
        <w:rPr>
          <w:rFonts w:hint="eastAsia" w:eastAsia="仿宋"/>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eastAsia="仿宋"/>
          <w:highlight w:val="none"/>
        </w:rPr>
      </w:pPr>
      <w:r>
        <w:rPr>
          <w:rFonts w:hint="eastAsia" w:ascii="Calibri" w:hAnsi="Calibri" w:eastAsia="仿宋"/>
          <w:sz w:val="28"/>
          <w:szCs w:val="28"/>
          <w:highlight w:val="none"/>
        </w:rPr>
        <w:t>（五）</w:t>
      </w:r>
      <w:r>
        <w:rPr>
          <w:rFonts w:hint="eastAsia" w:ascii="Calibri" w:hAnsi="Calibri" w:eastAsia="仿宋"/>
          <w:sz w:val="28"/>
          <w:szCs w:val="28"/>
          <w:highlight w:val="none"/>
          <w:lang w:val="en-US" w:eastAsia="zh-CN"/>
        </w:rPr>
        <w:t>合同段（合同包1）</w:t>
      </w:r>
      <w:r>
        <w:rPr>
          <w:rFonts w:ascii="Calibri" w:hAnsi="Calibri" w:eastAsia="仿宋"/>
          <w:sz w:val="28"/>
          <w:szCs w:val="28"/>
          <w:highlight w:val="none"/>
        </w:rPr>
        <w:t>最高控制价：</w:t>
      </w:r>
      <w:r>
        <w:rPr>
          <w:rFonts w:ascii="Calibri" w:hAnsi="Calibri" w:eastAsia="仿宋"/>
          <w:b/>
          <w:bCs/>
          <w:sz w:val="28"/>
          <w:szCs w:val="28"/>
          <w:highlight w:val="none"/>
        </w:rPr>
        <w:t>人民币</w:t>
      </w:r>
      <w:r>
        <w:rPr>
          <w:rFonts w:hint="eastAsia" w:ascii="Calibri" w:hAnsi="Calibri" w:eastAsia="仿宋"/>
          <w:b/>
          <w:bCs/>
          <w:sz w:val="28"/>
          <w:szCs w:val="28"/>
          <w:highlight w:val="none"/>
          <w:u w:val="single"/>
          <w:lang w:val="en-US" w:eastAsia="zh-CN"/>
        </w:rPr>
        <w:t xml:space="preserve">    576332.45   </w:t>
      </w:r>
      <w:r>
        <w:rPr>
          <w:rFonts w:ascii="Calibri" w:hAnsi="Calibri" w:eastAsia="仿宋"/>
          <w:b/>
          <w:bCs/>
          <w:sz w:val="28"/>
          <w:szCs w:val="28"/>
          <w:highlight w:val="none"/>
        </w:rPr>
        <w:t>元</w:t>
      </w:r>
      <w:r>
        <w:rPr>
          <w:rFonts w:hint="eastAsia" w:ascii="Calibri" w:hAnsi="Calibri" w:eastAsia="仿宋"/>
          <w:b/>
          <w:bCs/>
          <w:sz w:val="28"/>
          <w:szCs w:val="28"/>
          <w:highlight w:val="none"/>
        </w:rPr>
        <w:t>（含税）；</w:t>
      </w:r>
      <w:r>
        <w:rPr>
          <w:rFonts w:hint="eastAsia" w:eastAsia="仿宋"/>
          <w:b/>
          <w:bCs/>
          <w:sz w:val="28"/>
          <w:szCs w:val="28"/>
          <w:highlight w:val="none"/>
        </w:rPr>
        <w:t xml:space="preserve"> </w:t>
      </w:r>
    </w:p>
    <w:p>
      <w:pPr>
        <w:pStyle w:val="2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 w:cs="Times New Roman"/>
          <w:sz w:val="28"/>
          <w:szCs w:val="28"/>
          <w:highlight w:val="none"/>
          <w:u w:val="single"/>
          <w:lang w:eastAsia="zh-CN"/>
        </w:rPr>
      </w:pPr>
      <w:r>
        <w:rPr>
          <w:rFonts w:hint="eastAsia" w:ascii="Times New Roman" w:hAnsi="Times New Roman" w:eastAsia="仿宋" w:cs="Times New Roman"/>
          <w:sz w:val="28"/>
          <w:szCs w:val="28"/>
          <w:highlight w:val="none"/>
          <w:u w:val="single"/>
        </w:rPr>
        <w:t>为完成本项</w:t>
      </w:r>
      <w:r>
        <w:rPr>
          <w:rFonts w:hint="eastAsia" w:eastAsia="仿宋" w:cs="Times New Roman"/>
          <w:sz w:val="28"/>
          <w:szCs w:val="28"/>
          <w:highlight w:val="none"/>
          <w:u w:val="single"/>
          <w:lang w:val="en-US" w:eastAsia="zh-CN"/>
        </w:rPr>
        <w:t>小品</w:t>
      </w:r>
      <w:r>
        <w:rPr>
          <w:rFonts w:hint="eastAsia" w:ascii="Times New Roman" w:hAnsi="Times New Roman" w:eastAsia="仿宋" w:cs="Times New Roman"/>
          <w:sz w:val="28"/>
          <w:szCs w:val="28"/>
          <w:highlight w:val="none"/>
          <w:u w:val="single"/>
        </w:rPr>
        <w:t>工程所有工序（含安全布控）</w:t>
      </w:r>
      <w:r>
        <w:rPr>
          <w:rFonts w:hint="eastAsia" w:eastAsia="仿宋" w:cs="Times New Roman"/>
          <w:sz w:val="28"/>
          <w:szCs w:val="28"/>
          <w:highlight w:val="none"/>
          <w:u w:val="single"/>
          <w:lang w:eastAsia="zh-CN"/>
        </w:rPr>
        <w:t>二次深化</w:t>
      </w:r>
      <w:r>
        <w:rPr>
          <w:rFonts w:hint="eastAsia" w:eastAsia="仿宋" w:cs="Times New Roman"/>
          <w:sz w:val="28"/>
          <w:szCs w:val="28"/>
          <w:highlight w:val="none"/>
          <w:u w:val="single"/>
          <w:lang w:val="en-US" w:eastAsia="zh-CN"/>
        </w:rPr>
        <w:t>设计、施工、安装、维护和</w:t>
      </w:r>
      <w:r>
        <w:rPr>
          <w:rFonts w:hint="eastAsia" w:ascii="Times New Roman" w:hAnsi="Times New Roman" w:eastAsia="仿宋" w:cs="Times New Roman"/>
          <w:sz w:val="28"/>
          <w:szCs w:val="28"/>
          <w:highlight w:val="none"/>
          <w:u w:val="single"/>
        </w:rPr>
        <w:t>防护措施等一切投入</w:t>
      </w:r>
      <w:r>
        <w:rPr>
          <w:rFonts w:hint="eastAsia" w:ascii="Times New Roman" w:hAnsi="Times New Roman" w:eastAsia="仿宋" w:cs="Times New Roman"/>
          <w:sz w:val="28"/>
          <w:szCs w:val="28"/>
          <w:highlight w:val="none"/>
          <w:u w:val="single"/>
          <w:lang w:eastAsia="zh-CN"/>
        </w:rPr>
        <w:t>。</w:t>
      </w:r>
    </w:p>
    <w:p>
      <w:pPr>
        <w:keepNext w:val="0"/>
        <w:keepLines w:val="0"/>
        <w:pageBreakBefore w:val="0"/>
        <w:kinsoku/>
        <w:wordWrap/>
        <w:overflowPunct/>
        <w:topLinePunct w:val="0"/>
        <w:autoSpaceDE/>
        <w:autoSpaceDN/>
        <w:bidi w:val="0"/>
        <w:adjustRightInd/>
        <w:snapToGrid/>
        <w:spacing w:line="400" w:lineRule="exact"/>
        <w:ind w:firstLine="537" w:firstLineChars="192"/>
        <w:jc w:val="left"/>
        <w:textAlignment w:val="auto"/>
        <w:rPr>
          <w:rFonts w:eastAsia="仿宋"/>
          <w:sz w:val="28"/>
          <w:szCs w:val="28"/>
          <w:highlight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p>
    <w:p>
      <w:pPr>
        <w:spacing w:line="400" w:lineRule="exact"/>
        <w:ind w:firstLine="537" w:firstLineChars="192"/>
        <w:jc w:val="left"/>
        <w:rPr>
          <w:rFonts w:hint="eastAsia" w:eastAsia="仿宋"/>
          <w:sz w:val="28"/>
          <w:szCs w:val="28"/>
          <w:highlight w:val="none"/>
          <w:u w:val="single"/>
        </w:rPr>
      </w:pPr>
      <w:r>
        <w:rPr>
          <w:rFonts w:hint="eastAsia" w:eastAsia="仿宋"/>
          <w:sz w:val="28"/>
          <w:szCs w:val="28"/>
          <w:highlight w:val="none"/>
          <w:u w:val="single"/>
        </w:rPr>
        <w:t>合同段必须在2022年</w:t>
      </w:r>
      <w:r>
        <w:rPr>
          <w:rFonts w:hint="eastAsia" w:eastAsia="仿宋"/>
          <w:sz w:val="28"/>
          <w:szCs w:val="28"/>
          <w:highlight w:val="none"/>
          <w:u w:val="single"/>
          <w:lang w:val="en-US" w:eastAsia="zh-CN"/>
        </w:rPr>
        <w:t>7月31日</w:t>
      </w:r>
      <w:r>
        <w:rPr>
          <w:rFonts w:hint="eastAsia" w:eastAsia="仿宋"/>
          <w:sz w:val="28"/>
          <w:szCs w:val="28"/>
          <w:highlight w:val="none"/>
          <w:u w:val="single"/>
        </w:rPr>
        <w:t>前完成。</w:t>
      </w:r>
    </w:p>
    <w:p>
      <w:pPr>
        <w:spacing w:line="400" w:lineRule="exact"/>
        <w:ind w:firstLine="537" w:firstLineChars="192"/>
        <w:jc w:val="left"/>
        <w:rPr>
          <w:rFonts w:eastAsia="仿宋"/>
          <w:b/>
          <w:bCs/>
          <w:sz w:val="28"/>
          <w:szCs w:val="28"/>
          <w:highlight w:val="none"/>
        </w:rPr>
      </w:pPr>
      <w:r>
        <w:rPr>
          <w:rFonts w:hint="eastAsia" w:eastAsia="仿宋"/>
          <w:sz w:val="28"/>
          <w:szCs w:val="28"/>
          <w:highlight w:val="none"/>
          <w:u w:val="single"/>
        </w:rPr>
        <w:t>开工时间以采购人通知的实际进场时间为准。成交人</w:t>
      </w:r>
      <w:r>
        <w:rPr>
          <w:rFonts w:eastAsia="仿宋"/>
          <w:sz w:val="28"/>
          <w:szCs w:val="28"/>
          <w:highlight w:val="none"/>
          <w:u w:val="single"/>
        </w:rPr>
        <w:t>应无条件执行</w:t>
      </w:r>
      <w:r>
        <w:rPr>
          <w:rFonts w:hint="eastAsia" w:eastAsia="仿宋"/>
          <w:sz w:val="28"/>
          <w:szCs w:val="28"/>
          <w:highlight w:val="none"/>
          <w:u w:val="single"/>
        </w:rPr>
        <w:t>采购人</w:t>
      </w:r>
      <w:r>
        <w:rPr>
          <w:rFonts w:eastAsia="仿宋"/>
          <w:sz w:val="28"/>
          <w:szCs w:val="28"/>
          <w:highlight w:val="none"/>
          <w:u w:val="single"/>
        </w:rPr>
        <w:t>的进度计划安排</w:t>
      </w:r>
      <w:r>
        <w:rPr>
          <w:rFonts w:eastAsia="仿宋"/>
          <w:sz w:val="28"/>
          <w:szCs w:val="28"/>
          <w:highlight w:val="none"/>
        </w:rPr>
        <w:t>。</w:t>
      </w:r>
    </w:p>
    <w:p>
      <w:pPr>
        <w:spacing w:line="400" w:lineRule="exact"/>
        <w:ind w:firstLine="540" w:firstLineChars="192"/>
        <w:jc w:val="left"/>
        <w:rPr>
          <w:rFonts w:eastAsia="仿宋"/>
          <w:b/>
          <w:bCs/>
          <w:sz w:val="28"/>
          <w:szCs w:val="28"/>
          <w:highlight w:val="none"/>
        </w:rPr>
      </w:pP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pStyle w:val="31"/>
        <w:spacing w:line="276" w:lineRule="auto"/>
        <w:ind w:firstLine="560" w:firstLineChars="200"/>
        <w:rPr>
          <w:rFonts w:hint="eastAsia" w:ascii="Times New Roman" w:hAnsi="Times New Roman" w:eastAsia="仿宋" w:cs="Times New Roman"/>
          <w:color w:val="FF0000"/>
          <w:kern w:val="2"/>
          <w:sz w:val="28"/>
          <w:szCs w:val="28"/>
          <w:highlight w:val="none"/>
          <w:lang w:val="en-US" w:eastAsia="zh-CN" w:bidi="ar-SA"/>
        </w:rPr>
      </w:pPr>
      <w:r>
        <w:rPr>
          <w:rFonts w:hint="eastAsia" w:ascii="Times New Roman" w:hAnsi="Times New Roman" w:eastAsia="仿宋" w:cs="Times New Roman"/>
          <w:color w:val="FF0000"/>
          <w:kern w:val="2"/>
          <w:sz w:val="28"/>
          <w:szCs w:val="28"/>
          <w:highlight w:val="none"/>
          <w:lang w:val="en-US" w:eastAsia="zh-CN" w:bidi="ar-SA"/>
        </w:rPr>
        <w:t>1.投标人应是有能力提供本次招标货物及服务，营业执照经营范围须具有园林景观类的国内供应商。</w:t>
      </w:r>
    </w:p>
    <w:p>
      <w:pPr>
        <w:pStyle w:val="31"/>
        <w:spacing w:line="276" w:lineRule="auto"/>
        <w:ind w:firstLine="560" w:firstLineChars="200"/>
        <w:rPr>
          <w:rFonts w:hint="eastAsia" w:ascii="Times New Roman" w:hAnsi="Times New Roman" w:eastAsia="仿宋" w:cs="Times New Roman"/>
          <w:color w:val="FF0000"/>
          <w:kern w:val="2"/>
          <w:sz w:val="28"/>
          <w:szCs w:val="28"/>
          <w:highlight w:val="none"/>
          <w:lang w:val="en-US" w:eastAsia="zh-CN" w:bidi="ar-SA"/>
        </w:rPr>
      </w:pPr>
      <w:r>
        <w:rPr>
          <w:rFonts w:hint="eastAsia" w:ascii="Times New Roman" w:hAnsi="Times New Roman" w:eastAsia="仿宋" w:cs="Times New Roman"/>
          <w:color w:val="FF0000"/>
          <w:kern w:val="2"/>
          <w:sz w:val="28"/>
          <w:szCs w:val="28"/>
          <w:highlight w:val="none"/>
          <w:lang w:val="en-US" w:eastAsia="zh-CN" w:bidi="ar-SA"/>
        </w:rPr>
        <w:t>2.须提供合格有效的营业执照、税务登记证、组织机构代码证副本复印件或三证合一营业执照副本复印件。</w:t>
      </w:r>
    </w:p>
    <w:p>
      <w:pPr>
        <w:pStyle w:val="31"/>
        <w:spacing w:line="276" w:lineRule="auto"/>
        <w:ind w:firstLine="560" w:firstLineChars="200"/>
        <w:rPr>
          <w:rFonts w:hint="eastAsia" w:ascii="Times New Roman" w:hAnsi="Times New Roman" w:eastAsia="仿宋" w:cs="Times New Roman"/>
          <w:color w:val="FF0000"/>
          <w:kern w:val="2"/>
          <w:sz w:val="28"/>
          <w:szCs w:val="28"/>
          <w:highlight w:val="none"/>
          <w:lang w:val="en-US" w:eastAsia="zh-CN" w:bidi="ar-SA"/>
        </w:rPr>
      </w:pPr>
      <w:r>
        <w:rPr>
          <w:rFonts w:hint="eastAsia" w:ascii="Times New Roman" w:hAnsi="Times New Roman" w:eastAsia="仿宋" w:cs="Times New Roman"/>
          <w:color w:val="FF0000"/>
          <w:kern w:val="2"/>
          <w:sz w:val="28"/>
          <w:szCs w:val="28"/>
          <w:highlight w:val="none"/>
          <w:lang w:val="en-US" w:eastAsia="zh-CN" w:bidi="ar-SA"/>
        </w:rPr>
        <w:t>3.投标代表必须经投标人的法定代表人关于参与本项目投标的授权，请提供法定代表人授权投标代表的授权委托书原件（投标代表是法定代表人无需），并提供法定代表人和投标代表的身份证正、背面复印件。</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4</w:t>
      </w:r>
      <w:r>
        <w:rPr>
          <w:rFonts w:hint="eastAsia" w:eastAsia="仿宋"/>
          <w:sz w:val="28"/>
          <w:szCs w:val="28"/>
          <w:highlight w:val="none"/>
          <w:lang w:val="en-US" w:eastAsia="zh-CN"/>
        </w:rPr>
        <w:t>.</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5</w:t>
      </w:r>
      <w:r>
        <w:rPr>
          <w:rFonts w:hint="eastAsia" w:eastAsia="仿宋"/>
          <w:sz w:val="28"/>
          <w:szCs w:val="28"/>
          <w:highlight w:val="none"/>
          <w:lang w:val="en-US" w:eastAsia="zh-CN"/>
        </w:rPr>
        <w:t>.</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hint="eastAsia" w:eastAsia="仿宋"/>
          <w:sz w:val="28"/>
          <w:szCs w:val="28"/>
          <w:highlight w:val="none"/>
        </w:rPr>
      </w:pPr>
      <w:r>
        <w:rPr>
          <w:rFonts w:hint="eastAsia" w:eastAsia="仿宋"/>
          <w:sz w:val="28"/>
          <w:szCs w:val="28"/>
          <w:highlight w:val="none"/>
        </w:rPr>
        <w:t>本项目采用单信封、资格后审，“</w:t>
      </w:r>
      <w:r>
        <w:rPr>
          <w:rFonts w:hint="eastAsia" w:eastAsia="仿宋"/>
          <w:color w:val="FF0000"/>
          <w:sz w:val="28"/>
          <w:szCs w:val="28"/>
          <w:highlight w:val="none"/>
          <w:lang w:val="en-US" w:eastAsia="zh-CN"/>
        </w:rPr>
        <w:t>综合评标法</w:t>
      </w:r>
      <w:r>
        <w:rPr>
          <w:rFonts w:hint="eastAsia" w:eastAsia="仿宋"/>
          <w:sz w:val="28"/>
          <w:szCs w:val="28"/>
          <w:highlight w:val="none"/>
        </w:rPr>
        <w:t>”的评审方法。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w:t>
      </w:r>
      <w:r>
        <w:rPr>
          <w:rFonts w:hint="eastAsia" w:eastAsia="仿宋"/>
          <w:sz w:val="28"/>
          <w:szCs w:val="28"/>
          <w:highlight w:val="none"/>
        </w:rPr>
        <w:t>2022年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4</w:t>
      </w:r>
      <w:r>
        <w:rPr>
          <w:rFonts w:hint="eastAsia" w:eastAsia="仿宋"/>
          <w:sz w:val="28"/>
          <w:szCs w:val="28"/>
          <w:highlight w:val="none"/>
        </w:rPr>
        <w:t>日至2022年</w:t>
      </w:r>
      <w:r>
        <w:rPr>
          <w:rFonts w:hint="eastAsia" w:eastAsia="仿宋"/>
          <w:sz w:val="28"/>
          <w:szCs w:val="28"/>
          <w:highlight w:val="none"/>
          <w:lang w:val="en-US" w:eastAsia="zh-CN"/>
        </w:rPr>
        <w:t>7</w:t>
      </w:r>
      <w:r>
        <w:rPr>
          <w:rFonts w:hint="eastAsia" w:eastAsia="仿宋"/>
          <w:sz w:val="28"/>
          <w:szCs w:val="28"/>
          <w:highlight w:val="none"/>
        </w:rPr>
        <w:t>月</w:t>
      </w:r>
      <w:r>
        <w:rPr>
          <w:rFonts w:hint="eastAsia" w:eastAsia="仿宋"/>
          <w:sz w:val="28"/>
          <w:szCs w:val="28"/>
          <w:highlight w:val="none"/>
          <w:lang w:val="en-US" w:eastAsia="zh-CN"/>
        </w:rPr>
        <w:t>6</w:t>
      </w:r>
      <w:r>
        <w:rPr>
          <w:rFonts w:hint="eastAsia" w:eastAsia="仿宋"/>
          <w:sz w:val="28"/>
          <w:szCs w:val="28"/>
          <w:highlight w:val="none"/>
        </w:rPr>
        <w:t>日</w:t>
      </w:r>
      <w:r>
        <w:rPr>
          <w:rFonts w:hint="eastAsia" w:eastAsia="仿宋"/>
          <w:sz w:val="28"/>
          <w:szCs w:val="28"/>
          <w:highlight w:val="none"/>
        </w:rPr>
        <w:t>通过福建省高速公路养护工程有限公司（网址：</w:t>
      </w:r>
      <w:r>
        <w:rPr>
          <w:rFonts w:eastAsia="仿宋"/>
          <w:sz w:val="28"/>
          <w:szCs w:val="28"/>
          <w:highlight w:val="none"/>
        </w:rPr>
        <w:fldChar w:fldCharType="begin"/>
      </w:r>
      <w:r>
        <w:rPr>
          <w:rFonts w:eastAsia="仿宋"/>
          <w:sz w:val="28"/>
          <w:szCs w:val="28"/>
          <w:highlight w:val="none"/>
        </w:rPr>
        <w:instrText xml:space="preserve"> HYPERLINK "http://</w:instrText>
      </w:r>
      <w:r>
        <w:rPr>
          <w:rFonts w:hint="eastAsia" w:eastAsia="仿宋"/>
          <w:sz w:val="28"/>
          <w:szCs w:val="28"/>
          <w:highlight w:val="none"/>
        </w:rPr>
        <w:instrText xml:space="preserve">www.fjgsyh.com）下载采购文件</w:instrText>
      </w:r>
      <w:r>
        <w:rPr>
          <w:rFonts w:eastAsia="仿宋"/>
          <w:sz w:val="28"/>
          <w:szCs w:val="28"/>
          <w:highlight w:val="none"/>
        </w:rPr>
        <w:instrText xml:space="preserve">" </w:instrText>
      </w:r>
      <w:r>
        <w:rPr>
          <w:rFonts w:eastAsia="仿宋"/>
          <w:sz w:val="28"/>
          <w:szCs w:val="28"/>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）下载采购文件</w:t>
      </w:r>
      <w:r>
        <w:rPr>
          <w:rFonts w:eastAsia="仿宋"/>
          <w:sz w:val="28"/>
          <w:szCs w:val="28"/>
          <w:highlight w:val="none"/>
        </w:rPr>
        <w:fldChar w:fldCharType="end"/>
      </w:r>
      <w:r>
        <w:rPr>
          <w:rFonts w:hint="eastAsia" w:eastAsia="仿宋"/>
          <w:sz w:val="28"/>
          <w:szCs w:val="28"/>
          <w:highlight w:val="none"/>
        </w:rPr>
        <w:t xml:space="preserve">。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ascii="Times New Roman" w:hAnsi="Times New Roman" w:eastAsia="仿宋" w:cs="Times New Roman"/>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1</w:t>
      </w:r>
      <w:r>
        <w:rPr>
          <w:rFonts w:hint="eastAsia" w:eastAsia="仿宋"/>
          <w:sz w:val="28"/>
          <w:szCs w:val="28"/>
          <w:highlight w:val="none"/>
          <w:lang w:val="en-US" w:eastAsia="zh-CN"/>
        </w:rPr>
        <w:t>.</w:t>
      </w:r>
      <w:r>
        <w:rPr>
          <w:rFonts w:hint="eastAsia" w:eastAsia="仿宋"/>
          <w:sz w:val="28"/>
          <w:szCs w:val="28"/>
          <w:highlight w:val="none"/>
        </w:rPr>
        <w:t>本项目不组织进行现场考察，报价人可自行前往，其费用和风险无论是否承接本项目均由报价人自行承担。</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2</w:t>
      </w:r>
      <w:r>
        <w:rPr>
          <w:rFonts w:hint="eastAsia" w:eastAsia="仿宋"/>
          <w:sz w:val="28"/>
          <w:szCs w:val="28"/>
          <w:highlight w:val="none"/>
          <w:lang w:val="en-US" w:eastAsia="zh-CN"/>
        </w:rPr>
        <w:t>.</w:t>
      </w:r>
      <w:r>
        <w:rPr>
          <w:rFonts w:hint="eastAsia" w:eastAsia="仿宋"/>
          <w:sz w:val="28"/>
          <w:szCs w:val="28"/>
          <w:highlight w:val="none"/>
        </w:rPr>
        <w:t>报价文件递交的截止时间为</w:t>
      </w:r>
      <w:r>
        <w:rPr>
          <w:rFonts w:hint="eastAsia" w:eastAsia="仿宋"/>
          <w:sz w:val="28"/>
          <w:szCs w:val="28"/>
          <w:highlight w:val="none"/>
        </w:rPr>
        <w:t>2022年</w:t>
      </w:r>
      <w:r>
        <w:rPr>
          <w:rFonts w:hint="eastAsia" w:eastAsia="仿宋"/>
          <w:sz w:val="28"/>
          <w:szCs w:val="28"/>
          <w:highlight w:val="none"/>
          <w:lang w:val="en-US" w:eastAsia="zh-CN"/>
        </w:rPr>
        <w:t>7</w:t>
      </w:r>
      <w:r>
        <w:rPr>
          <w:rFonts w:hint="eastAsia" w:eastAsia="仿宋"/>
          <w:sz w:val="28"/>
          <w:szCs w:val="28"/>
          <w:highlight w:val="none"/>
          <w:lang w:eastAsia="zh-CN"/>
        </w:rPr>
        <w:t>月</w:t>
      </w:r>
      <w:r>
        <w:rPr>
          <w:rFonts w:hint="eastAsia" w:eastAsia="仿宋"/>
          <w:sz w:val="28"/>
          <w:szCs w:val="28"/>
          <w:highlight w:val="none"/>
          <w:lang w:val="en-US" w:eastAsia="zh-CN"/>
        </w:rPr>
        <w:t>7</w:t>
      </w:r>
      <w:r>
        <w:rPr>
          <w:rFonts w:hint="eastAsia" w:eastAsia="仿宋"/>
          <w:sz w:val="28"/>
          <w:szCs w:val="28"/>
          <w:highlight w:val="none"/>
          <w:lang w:eastAsia="zh-CN"/>
        </w:rPr>
        <w:t>日</w:t>
      </w:r>
      <w:r>
        <w:rPr>
          <w:rFonts w:hint="eastAsia" w:eastAsia="仿宋"/>
          <w:sz w:val="28"/>
          <w:szCs w:val="28"/>
          <w:highlight w:val="none"/>
          <w:lang w:val="en-US" w:eastAsia="zh-CN"/>
        </w:rPr>
        <w:t>15</w:t>
      </w:r>
      <w:r>
        <w:rPr>
          <w:rFonts w:hint="eastAsia" w:eastAsia="仿宋"/>
          <w:sz w:val="28"/>
          <w:szCs w:val="28"/>
          <w:highlight w:val="none"/>
        </w:rPr>
        <w:t>时</w:t>
      </w:r>
      <w:r>
        <w:rPr>
          <w:rFonts w:hint="eastAsia" w:eastAsia="仿宋"/>
          <w:sz w:val="28"/>
          <w:szCs w:val="28"/>
          <w:highlight w:val="none"/>
          <w:lang w:val="en-US" w:eastAsia="zh-CN"/>
        </w:rPr>
        <w:t>30</w:t>
      </w:r>
      <w:r>
        <w:rPr>
          <w:rFonts w:hint="eastAsia" w:eastAsia="仿宋"/>
          <w:sz w:val="28"/>
          <w:szCs w:val="28"/>
          <w:highlight w:val="none"/>
        </w:rPr>
        <w:t>分00秒</w:t>
      </w:r>
      <w:r>
        <w:rPr>
          <w:rFonts w:hint="eastAsia" w:eastAsia="仿宋"/>
          <w:sz w:val="28"/>
          <w:szCs w:val="28"/>
          <w:highlight w:val="none"/>
        </w:rPr>
        <w:t>（北京时间），报价人应将报价文件递交至福州市闽侯县上街中美村福银高速公路福州西出口左侧养护大楼旁（福州高速交警3大队后）2层小楼2层会议</w:t>
      </w:r>
      <w:r>
        <w:rPr>
          <w:rFonts w:hint="eastAsia" w:eastAsia="仿宋"/>
          <w:sz w:val="28"/>
          <w:szCs w:val="28"/>
          <w:highlight w:val="none"/>
        </w:rPr>
        <w:t>室。</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3</w:t>
      </w:r>
      <w:r>
        <w:rPr>
          <w:rFonts w:hint="eastAsia" w:eastAsia="仿宋"/>
          <w:sz w:val="28"/>
          <w:szCs w:val="28"/>
          <w:highlight w:val="none"/>
          <w:lang w:val="en-US" w:eastAsia="zh-CN"/>
        </w:rPr>
        <w:t>.</w:t>
      </w:r>
      <w:r>
        <w:rPr>
          <w:rFonts w:hint="eastAsia" w:eastAsia="仿宋"/>
          <w:sz w:val="28"/>
          <w:szCs w:val="28"/>
          <w:highlight w:val="none"/>
        </w:rPr>
        <w:t>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报价会时间：</w:t>
      </w:r>
      <w:r>
        <w:rPr>
          <w:rFonts w:hint="eastAsia" w:eastAsia="仿宋"/>
          <w:b/>
          <w:bCs/>
          <w:sz w:val="28"/>
          <w:szCs w:val="28"/>
          <w:highlight w:val="none"/>
        </w:rPr>
        <w:t>2022年</w:t>
      </w:r>
      <w:r>
        <w:rPr>
          <w:rFonts w:hint="eastAsia" w:eastAsia="仿宋"/>
          <w:b/>
          <w:bCs/>
          <w:sz w:val="28"/>
          <w:szCs w:val="28"/>
          <w:highlight w:val="none"/>
          <w:lang w:val="en-US" w:eastAsia="zh-CN"/>
        </w:rPr>
        <w:t>7</w:t>
      </w:r>
      <w:r>
        <w:rPr>
          <w:rFonts w:hint="eastAsia" w:eastAsia="仿宋"/>
          <w:b/>
          <w:bCs/>
          <w:sz w:val="28"/>
          <w:szCs w:val="28"/>
          <w:highlight w:val="none"/>
          <w:lang w:eastAsia="zh-CN"/>
        </w:rPr>
        <w:t>月</w:t>
      </w:r>
      <w:r>
        <w:rPr>
          <w:rFonts w:hint="eastAsia" w:eastAsia="仿宋"/>
          <w:b/>
          <w:bCs/>
          <w:sz w:val="28"/>
          <w:szCs w:val="28"/>
          <w:highlight w:val="none"/>
          <w:lang w:val="en-US" w:eastAsia="zh-CN"/>
        </w:rPr>
        <w:t>7</w:t>
      </w:r>
      <w:r>
        <w:rPr>
          <w:rFonts w:hint="eastAsia" w:eastAsia="仿宋"/>
          <w:b/>
          <w:bCs/>
          <w:sz w:val="28"/>
          <w:szCs w:val="28"/>
          <w:highlight w:val="none"/>
          <w:lang w:eastAsia="zh-CN"/>
        </w:rPr>
        <w:t>日</w:t>
      </w:r>
      <w:r>
        <w:rPr>
          <w:rFonts w:hint="eastAsia" w:eastAsia="仿宋"/>
          <w:b/>
          <w:bCs/>
          <w:sz w:val="28"/>
          <w:szCs w:val="28"/>
          <w:highlight w:val="none"/>
          <w:lang w:val="en-US" w:eastAsia="zh-CN"/>
        </w:rPr>
        <w:t>15</w:t>
      </w:r>
      <w:r>
        <w:rPr>
          <w:rFonts w:hint="eastAsia" w:eastAsia="仿宋"/>
          <w:b/>
          <w:bCs/>
          <w:sz w:val="28"/>
          <w:szCs w:val="28"/>
          <w:highlight w:val="none"/>
        </w:rPr>
        <w:t>时</w:t>
      </w:r>
      <w:r>
        <w:rPr>
          <w:rFonts w:hint="eastAsia" w:eastAsia="仿宋"/>
          <w:b/>
          <w:bCs/>
          <w:sz w:val="28"/>
          <w:szCs w:val="28"/>
          <w:highlight w:val="none"/>
          <w:lang w:val="en-US" w:eastAsia="zh-CN"/>
        </w:rPr>
        <w:t>30</w:t>
      </w:r>
      <w:r>
        <w:rPr>
          <w:rFonts w:hint="eastAsia" w:eastAsia="仿宋"/>
          <w:b/>
          <w:bCs/>
          <w:sz w:val="28"/>
          <w:szCs w:val="28"/>
          <w:highlight w:val="none"/>
        </w:rPr>
        <w:t>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w:t>
      </w:r>
      <w:r>
        <w:rPr>
          <w:rFonts w:hint="eastAsia" w:eastAsia="仿宋"/>
          <w:b/>
          <w:bCs/>
          <w:sz w:val="28"/>
          <w:szCs w:val="28"/>
          <w:highlight w:val="none"/>
          <w:lang w:eastAsia="zh-CN"/>
        </w:rPr>
        <w:t>、</w:t>
      </w:r>
      <w:r>
        <w:rPr>
          <w:rFonts w:hint="eastAsia" w:eastAsia="仿宋"/>
          <w:b/>
          <w:bCs/>
          <w:sz w:val="28"/>
          <w:szCs w:val="28"/>
          <w:highlight w:val="none"/>
        </w:rPr>
        <w:t>盖有单位公章的上述资料复印件</w:t>
      </w:r>
      <w:r>
        <w:rPr>
          <w:rFonts w:hint="eastAsia" w:eastAsia="仿宋"/>
          <w:b/>
          <w:bCs/>
          <w:sz w:val="28"/>
          <w:szCs w:val="28"/>
          <w:highlight w:val="none"/>
          <w:lang w:val="en-US" w:eastAsia="zh-CN"/>
        </w:rPr>
        <w:t>及报价保证金退还申请书</w:t>
      </w:r>
      <w:r>
        <w:rPr>
          <w:rFonts w:hint="eastAsia" w:eastAsia="仿宋"/>
          <w:b/>
          <w:bCs/>
          <w:sz w:val="28"/>
          <w:szCs w:val="28"/>
          <w:highlight w:val="none"/>
        </w:rPr>
        <w:t>以供审查</w:t>
      </w:r>
      <w:r>
        <w:rPr>
          <w:rFonts w:hint="eastAsia" w:eastAsia="仿宋"/>
          <w:b/>
          <w:bCs/>
          <w:sz w:val="28"/>
          <w:szCs w:val="28"/>
          <w:highlight w:val="none"/>
        </w:rPr>
        <w:t>，未按要求参加的，其报价文件将被拒绝。</w:t>
      </w:r>
    </w:p>
    <w:p>
      <w:pPr>
        <w:spacing w:line="400" w:lineRule="exact"/>
        <w:ind w:firstLine="562" w:firstLineChars="200"/>
        <w:jc w:val="left"/>
        <w:rPr>
          <w:rFonts w:hint="eastAsia" w:eastAsia="仿宋"/>
          <w:b/>
          <w:bCs/>
          <w:sz w:val="28"/>
          <w:szCs w:val="28"/>
          <w:highlight w:val="none"/>
          <w:lang w:val="en-US" w:eastAsia="zh-CN"/>
        </w:rPr>
      </w:pP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lang w:val="en-US" w:eastAsia="zh-CN"/>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（网址：</w:t>
      </w:r>
      <w:r>
        <w:rPr>
          <w:rFonts w:hint="eastAsia" w:eastAsia="仿宋"/>
          <w:sz w:val="28"/>
          <w:szCs w:val="28"/>
          <w:highlight w:val="none"/>
        </w:rPr>
        <w:fldChar w:fldCharType="begin"/>
      </w:r>
      <w:r>
        <w:rPr>
          <w:rFonts w:hint="eastAsia" w:eastAsia="仿宋"/>
          <w:sz w:val="28"/>
          <w:szCs w:val="28"/>
          <w:highlight w:val="none"/>
        </w:rPr>
        <w:instrText xml:space="preserve"> HYPERLINK "http://www.fjgsyh.com）。" </w:instrText>
      </w:r>
      <w:r>
        <w:rPr>
          <w:rFonts w:hint="eastAsia" w:eastAsia="仿宋"/>
          <w:sz w:val="28"/>
          <w:szCs w:val="28"/>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Fonts w:hint="eastAsia" w:eastAsia="仿宋"/>
          <w:sz w:val="28"/>
          <w:szCs w:val="28"/>
          <w:highlight w:val="none"/>
        </w:rPr>
        <w:fldChar w:fldCharType="end"/>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lang w:val="en-US" w:eastAsia="zh-CN"/>
        </w:rPr>
        <w:t>九</w:t>
      </w:r>
      <w:r>
        <w:rPr>
          <w:rFonts w:hint="eastAsia" w:eastAsia="仿宋"/>
          <w:b/>
          <w:bCs/>
          <w:sz w:val="28"/>
          <w:szCs w:val="28"/>
          <w:highlight w:val="none"/>
        </w:rPr>
        <w:t>、报价保证金</w:t>
      </w:r>
    </w:p>
    <w:p>
      <w:pPr>
        <w:spacing w:line="400" w:lineRule="exact"/>
        <w:ind w:firstLine="560" w:firstLineChars="200"/>
        <w:jc w:val="left"/>
        <w:rPr>
          <w:rFonts w:hint="eastAsia" w:eastAsia="仿宋"/>
          <w:b w:val="0"/>
          <w:bCs w:val="0"/>
          <w:sz w:val="28"/>
          <w:szCs w:val="28"/>
          <w:highlight w:val="none"/>
          <w:lang w:eastAsia="zh-CN"/>
        </w:rPr>
      </w:pPr>
      <w:r>
        <w:rPr>
          <w:rFonts w:hint="eastAsia" w:eastAsia="仿宋"/>
          <w:b w:val="0"/>
          <w:bCs w:val="0"/>
          <w:sz w:val="28"/>
          <w:szCs w:val="28"/>
          <w:highlight w:val="none"/>
          <w:lang w:eastAsia="zh-CN"/>
        </w:rPr>
        <w:t>本项目不设保证金。</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u w:val="single"/>
        </w:rPr>
        <w:t>福州川达公路养护工程有限公司</w:t>
      </w:r>
    </w:p>
    <w:p>
      <w:pPr>
        <w:spacing w:line="400" w:lineRule="exact"/>
        <w:ind w:firstLine="1680" w:firstLineChars="600"/>
        <w:jc w:val="left"/>
        <w:rPr>
          <w:rFonts w:eastAsia="仿宋"/>
          <w:sz w:val="28"/>
          <w:szCs w:val="28"/>
          <w:highlight w:val="none"/>
        </w:rPr>
      </w:pPr>
      <w:r>
        <w:rPr>
          <w:rFonts w:hint="eastAsia" w:eastAsia="仿宋"/>
          <w:sz w:val="28"/>
          <w:szCs w:val="28"/>
          <w:highlight w:val="none"/>
          <w:u w:val="single"/>
        </w:rPr>
        <w:t>福建省高速公路养护工程有限公司项目经理部一</w:t>
      </w:r>
    </w:p>
    <w:p>
      <w:pPr>
        <w:pStyle w:val="8"/>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u w:val="single"/>
        </w:rPr>
        <w:t>福州市闽侯县上街中美村福银高速公路福州西出口</w:t>
      </w:r>
      <w:r>
        <w:rPr>
          <w:rFonts w:hint="eastAsia" w:eastAsia="仿宋"/>
          <w:sz w:val="28"/>
          <w:szCs w:val="28"/>
          <w:highlight w:val="none"/>
          <w:u w:val="single"/>
        </w:rPr>
        <w:t>左侧养护大楼旁（福州高速交警3大队后）2层小楼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hint="eastAsia" w:eastAsia="仿宋"/>
          <w:sz w:val="28"/>
          <w:szCs w:val="28"/>
          <w:highlight w:val="none"/>
          <w:u w:val="single"/>
        </w:rPr>
        <w:t>15859302776</w:t>
      </w:r>
    </w:p>
    <w:p>
      <w:pPr>
        <w:spacing w:line="400" w:lineRule="exact"/>
        <w:ind w:firstLine="560" w:firstLineChars="200"/>
        <w:jc w:val="left"/>
        <w:rPr>
          <w:rFonts w:hint="eastAsia" w:eastAsia="仿宋"/>
          <w:sz w:val="28"/>
          <w:szCs w:val="28"/>
          <w:highlight w:val="none"/>
        </w:rPr>
      </w:pPr>
      <w:r>
        <w:rPr>
          <w:rFonts w:eastAsia="仿宋"/>
          <w:sz w:val="28"/>
          <w:szCs w:val="28"/>
          <w:highlight w:val="none"/>
        </w:rPr>
        <w:t>联系人：</w:t>
      </w:r>
      <w:r>
        <w:rPr>
          <w:rFonts w:hint="eastAsia" w:eastAsia="仿宋"/>
          <w:sz w:val="28"/>
          <w:szCs w:val="28"/>
          <w:highlight w:val="none"/>
          <w:u w:val="single"/>
        </w:rPr>
        <w:t>叶工</w:t>
      </w:r>
    </w:p>
    <w:p>
      <w:pPr>
        <w:pStyle w:val="2"/>
        <w:ind w:left="0" w:leftChars="0" w:firstLine="0" w:firstLineChars="0"/>
        <w:rPr>
          <w:highlight w:val="none"/>
        </w:rPr>
      </w:pPr>
    </w:p>
    <w:p>
      <w:pPr>
        <w:spacing w:line="6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Ansi="宋体"/>
                <w:sz w:val="24"/>
                <w:highlight w:val="none"/>
              </w:rPr>
              <w:t>条款号</w:t>
            </w:r>
          </w:p>
        </w:tc>
        <w:tc>
          <w:tcPr>
            <w:tcW w:w="9229" w:type="dxa"/>
            <w:noWrap w:val="0"/>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1.1</w:t>
            </w:r>
          </w:p>
        </w:tc>
        <w:tc>
          <w:tcPr>
            <w:tcW w:w="9229" w:type="dxa"/>
            <w:noWrap w:val="0"/>
            <w:vAlign w:val="center"/>
          </w:tcPr>
          <w:p>
            <w:pPr>
              <w:pStyle w:val="13"/>
              <w:spacing w:line="300" w:lineRule="exact"/>
              <w:rPr>
                <w:rFonts w:hint="eastAsia"/>
                <w:sz w:val="24"/>
                <w:highlight w:val="none"/>
                <w:u w:val="single"/>
              </w:rPr>
            </w:pPr>
            <w:r>
              <w:rPr>
                <w:sz w:val="24"/>
                <w:highlight w:val="none"/>
              </w:rPr>
              <w:t>采购人：</w:t>
            </w:r>
            <w:r>
              <w:rPr>
                <w:rFonts w:hint="eastAsia"/>
                <w:sz w:val="24"/>
                <w:highlight w:val="none"/>
                <w:u w:val="single"/>
              </w:rPr>
              <w:t>福州川达公路养护工程有限公司</w:t>
            </w:r>
          </w:p>
          <w:p>
            <w:pPr>
              <w:pStyle w:val="13"/>
              <w:spacing w:line="300" w:lineRule="exact"/>
              <w:ind w:firstLine="960" w:firstLineChars="400"/>
              <w:rPr>
                <w:sz w:val="24"/>
                <w:highlight w:val="none"/>
                <w:u w:val="single"/>
              </w:rPr>
            </w:pPr>
            <w:r>
              <w:rPr>
                <w:rFonts w:hint="eastAsia"/>
                <w:sz w:val="24"/>
                <w:highlight w:val="none"/>
                <w:u w:val="single"/>
              </w:rPr>
              <w:t>福建省高速公路养护工程有限公司项目经理部一</w:t>
            </w:r>
          </w:p>
          <w:p>
            <w:pPr>
              <w:spacing w:line="300" w:lineRule="exact"/>
              <w:jc w:val="left"/>
              <w:rPr>
                <w:sz w:val="24"/>
                <w:highlight w:val="none"/>
              </w:rPr>
            </w:pPr>
            <w:r>
              <w:rPr>
                <w:sz w:val="24"/>
                <w:highlight w:val="none"/>
              </w:rPr>
              <w:t>地址：</w:t>
            </w:r>
            <w:r>
              <w:rPr>
                <w:rFonts w:hint="eastAsia"/>
                <w:sz w:val="24"/>
                <w:highlight w:val="none"/>
                <w:u w:val="single"/>
              </w:rPr>
              <w:t>福州市闽侯县上街中美村福银高速公路福州西出口左</w:t>
            </w:r>
            <w:r>
              <w:rPr>
                <w:rFonts w:hint="eastAsia"/>
                <w:sz w:val="24"/>
                <w:highlight w:val="none"/>
                <w:u w:val="single"/>
              </w:rPr>
              <w:t>侧养护大楼旁（福州高速交警3大队后）2层小楼</w:t>
            </w:r>
            <w:r>
              <w:rPr>
                <w:sz w:val="24"/>
                <w:highlight w:val="none"/>
                <w:u w:val="single"/>
              </w:rPr>
              <w:t xml:space="preserve"> </w:t>
            </w:r>
          </w:p>
          <w:p>
            <w:pPr>
              <w:spacing w:line="300" w:lineRule="exact"/>
              <w:jc w:val="left"/>
              <w:rPr>
                <w:rFonts w:hint="eastAsia"/>
                <w:sz w:val="24"/>
                <w:highlight w:val="none"/>
              </w:rPr>
            </w:pPr>
            <w:r>
              <w:rPr>
                <w:sz w:val="24"/>
                <w:highlight w:val="none"/>
              </w:rPr>
              <w:t>电话：</w:t>
            </w:r>
            <w:r>
              <w:rPr>
                <w:rFonts w:hint="eastAsia"/>
                <w:sz w:val="24"/>
                <w:highlight w:val="none"/>
                <w:u w:val="single"/>
              </w:rPr>
              <w:t>15859302776</w:t>
            </w:r>
            <w:r>
              <w:rPr>
                <w:sz w:val="24"/>
                <w:highlight w:val="none"/>
              </w:rPr>
              <w:t xml:space="preserve">           </w:t>
            </w:r>
            <w:r>
              <w:rPr>
                <w:rFonts w:hint="eastAsia"/>
                <w:sz w:val="24"/>
                <w:highlight w:val="none"/>
              </w:rPr>
              <w:t xml:space="preserve"> </w:t>
            </w:r>
            <w:r>
              <w:rPr>
                <w:sz w:val="24"/>
                <w:highlight w:val="none"/>
              </w:rPr>
              <w:t>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noWrap w:val="0"/>
            <w:vAlign w:val="center"/>
          </w:tcPr>
          <w:p>
            <w:pPr>
              <w:spacing w:line="340" w:lineRule="exact"/>
              <w:jc w:val="center"/>
              <w:rPr>
                <w:sz w:val="24"/>
                <w:highlight w:val="none"/>
              </w:rPr>
            </w:pPr>
            <w:r>
              <w:rPr>
                <w:sz w:val="24"/>
                <w:highlight w:val="none"/>
              </w:rPr>
              <w:t>1.2</w:t>
            </w:r>
          </w:p>
        </w:tc>
        <w:tc>
          <w:tcPr>
            <w:tcW w:w="9229" w:type="dxa"/>
            <w:noWrap w:val="0"/>
            <w:vAlign w:val="center"/>
          </w:tcPr>
          <w:p>
            <w:pPr>
              <w:spacing w:line="400" w:lineRule="exact"/>
              <w:jc w:val="left"/>
              <w:rPr>
                <w:sz w:val="24"/>
                <w:highlight w:val="none"/>
              </w:rPr>
            </w:pPr>
            <w:r>
              <w:rPr>
                <w:sz w:val="24"/>
                <w:highlight w:val="none"/>
              </w:rPr>
              <w:t>项目名称：</w:t>
            </w:r>
            <w:r>
              <w:rPr>
                <w:rFonts w:hint="eastAsia"/>
                <w:sz w:val="24"/>
                <w:highlight w:val="none"/>
                <w:lang w:val="en-US" w:eastAsia="zh-CN"/>
              </w:rPr>
              <w:t>福泉高速公路沿线绿化提升项目-文创雕塑</w:t>
            </w:r>
            <w:r>
              <w:rPr>
                <w:rFonts w:hint="eastAsia"/>
                <w:sz w:val="24"/>
                <w:highlight w:val="none"/>
                <w:lang w:eastAsia="zh-CN"/>
              </w:rPr>
              <w:t>采购项目</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1.3</w:t>
            </w:r>
          </w:p>
        </w:tc>
        <w:tc>
          <w:tcPr>
            <w:tcW w:w="9229" w:type="dxa"/>
            <w:noWrap w:val="0"/>
            <w:vAlign w:val="center"/>
          </w:tcPr>
          <w:p>
            <w:pPr>
              <w:spacing w:line="300" w:lineRule="exact"/>
              <w:jc w:val="left"/>
              <w:rPr>
                <w:rFonts w:hint="eastAsia"/>
                <w:sz w:val="24"/>
                <w:highlight w:val="none"/>
              </w:rPr>
            </w:pPr>
            <w:r>
              <w:rPr>
                <w:rFonts w:hint="eastAsia"/>
                <w:sz w:val="24"/>
                <w:highlight w:val="none"/>
              </w:rPr>
              <w:t>项目</w:t>
            </w:r>
            <w:r>
              <w:rPr>
                <w:sz w:val="24"/>
                <w:highlight w:val="none"/>
              </w:rPr>
              <w:t>地点：</w:t>
            </w:r>
            <w:r>
              <w:rPr>
                <w:rFonts w:hint="eastAsia"/>
                <w:sz w:val="24"/>
                <w:highlight w:val="none"/>
                <w:lang w:val="en-US" w:eastAsia="zh-CN"/>
              </w:rPr>
              <w:t>福泉高速公路雷打石隧道口、BK2101、镜阳互通三角区等</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1.4</w:t>
            </w:r>
          </w:p>
        </w:tc>
        <w:tc>
          <w:tcPr>
            <w:tcW w:w="9229" w:type="dxa"/>
            <w:noWrap w:val="0"/>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pPr>
              <w:spacing w:line="340" w:lineRule="exact"/>
              <w:jc w:val="center"/>
              <w:rPr>
                <w:sz w:val="24"/>
                <w:highlight w:val="none"/>
              </w:rPr>
            </w:pPr>
            <w:r>
              <w:rPr>
                <w:rFonts w:hint="eastAsia"/>
                <w:sz w:val="24"/>
                <w:highlight w:val="none"/>
              </w:rPr>
              <w:t>1.5</w:t>
            </w:r>
          </w:p>
        </w:tc>
        <w:tc>
          <w:tcPr>
            <w:tcW w:w="9229" w:type="dxa"/>
            <w:noWrap w:val="0"/>
            <w:vAlign w:val="center"/>
          </w:tcPr>
          <w:p>
            <w:pPr>
              <w:spacing w:line="300" w:lineRule="exact"/>
              <w:rPr>
                <w:sz w:val="24"/>
                <w:highlight w:val="none"/>
              </w:rPr>
            </w:pPr>
            <w:r>
              <w:rPr>
                <w:rFonts w:hint="eastAsia"/>
                <w:sz w:val="24"/>
                <w:highlight w:val="none"/>
                <w:lang w:eastAsia="zh-CN"/>
              </w:rPr>
              <w:t>合同段</w:t>
            </w:r>
            <w:r>
              <w:rPr>
                <w:rFonts w:hint="eastAsia"/>
                <w:sz w:val="24"/>
                <w:highlight w:val="none"/>
              </w:rPr>
              <w:t>划分：</w:t>
            </w:r>
            <w:r>
              <w:rPr>
                <w:rFonts w:hint="eastAsia"/>
                <w:sz w:val="24"/>
                <w:highlight w:val="none"/>
                <w:lang w:val="en-US" w:eastAsia="zh-CN"/>
              </w:rPr>
              <w:t>1个</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014" w:type="dxa"/>
            <w:noWrap w:val="0"/>
            <w:vAlign w:val="center"/>
          </w:tcPr>
          <w:p>
            <w:pPr>
              <w:spacing w:line="340" w:lineRule="exact"/>
              <w:jc w:val="center"/>
              <w:rPr>
                <w:sz w:val="24"/>
                <w:highlight w:val="none"/>
              </w:rPr>
            </w:pPr>
            <w:r>
              <w:rPr>
                <w:sz w:val="24"/>
                <w:highlight w:val="none"/>
              </w:rPr>
              <w:t>2</w:t>
            </w:r>
          </w:p>
        </w:tc>
        <w:tc>
          <w:tcPr>
            <w:tcW w:w="9229" w:type="dxa"/>
            <w:noWrap w:val="0"/>
            <w:vAlign w:val="center"/>
          </w:tcPr>
          <w:p>
            <w:pPr>
              <w:spacing w:line="300" w:lineRule="exact"/>
              <w:rPr>
                <w:sz w:val="24"/>
                <w:highlight w:val="none"/>
              </w:rPr>
            </w:pPr>
            <w:r>
              <w:rPr>
                <w:sz w:val="24"/>
                <w:highlight w:val="none"/>
              </w:rPr>
              <w:t>采购范围：</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sz w:val="24"/>
                <w:highlight w:val="none"/>
                <w:lang w:eastAsia="zh-CN"/>
              </w:rPr>
            </w:pPr>
            <w:r>
              <w:rPr>
                <w:rFonts w:hint="eastAsia"/>
                <w:color w:val="FF0000"/>
                <w:sz w:val="24"/>
                <w:highlight w:val="none"/>
              </w:rPr>
              <w:t>为完成本项</w:t>
            </w:r>
            <w:r>
              <w:rPr>
                <w:rFonts w:hint="eastAsia"/>
                <w:color w:val="FF0000"/>
                <w:sz w:val="24"/>
                <w:highlight w:val="none"/>
                <w:lang w:val="en-US" w:eastAsia="zh-CN"/>
              </w:rPr>
              <w:t>小品</w:t>
            </w:r>
            <w:r>
              <w:rPr>
                <w:rFonts w:hint="eastAsia"/>
                <w:color w:val="FF0000"/>
                <w:sz w:val="24"/>
                <w:highlight w:val="none"/>
              </w:rPr>
              <w:t>工程所有工序（含安全布控）</w:t>
            </w:r>
            <w:r>
              <w:rPr>
                <w:rFonts w:hint="eastAsia"/>
                <w:color w:val="FF0000"/>
                <w:sz w:val="24"/>
                <w:highlight w:val="none"/>
                <w:lang w:eastAsia="zh-CN"/>
              </w:rPr>
              <w:t>二次深化</w:t>
            </w:r>
            <w:r>
              <w:rPr>
                <w:rFonts w:hint="eastAsia"/>
                <w:color w:val="FF0000"/>
                <w:sz w:val="24"/>
                <w:highlight w:val="none"/>
                <w:lang w:val="en-US" w:eastAsia="zh-CN"/>
              </w:rPr>
              <w:t>设计、施工、安装、维护和防护措施等一切投入。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3</w:t>
            </w:r>
          </w:p>
        </w:tc>
        <w:tc>
          <w:tcPr>
            <w:tcW w:w="9229" w:type="dxa"/>
            <w:noWrap w:val="0"/>
            <w:vAlign w:val="center"/>
          </w:tcPr>
          <w:p>
            <w:pPr>
              <w:spacing w:line="300" w:lineRule="exact"/>
              <w:rPr>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lang w:eastAsia="zh-CN"/>
              </w:rPr>
              <w:t>：</w:t>
            </w:r>
            <w:r>
              <w:rPr>
                <w:rFonts w:hint="eastAsia"/>
                <w:b/>
                <w:bCs/>
                <w:sz w:val="24"/>
                <w:highlight w:val="none"/>
              </w:rPr>
              <w:t>A1合同段必须在</w:t>
            </w:r>
            <w:r>
              <w:rPr>
                <w:rFonts w:hint="eastAsia"/>
                <w:b/>
                <w:bCs/>
                <w:sz w:val="24"/>
                <w:highlight w:val="none"/>
                <w:lang w:eastAsia="zh-CN"/>
              </w:rPr>
              <w:t>2022年7月31日</w:t>
            </w:r>
            <w:r>
              <w:rPr>
                <w:rFonts w:hint="eastAsia"/>
                <w:b/>
                <w:bCs/>
                <w:sz w:val="24"/>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4" w:type="dxa"/>
            <w:noWrap w:val="0"/>
            <w:vAlign w:val="center"/>
          </w:tcPr>
          <w:p>
            <w:pPr>
              <w:spacing w:line="340" w:lineRule="exact"/>
              <w:jc w:val="center"/>
              <w:rPr>
                <w:sz w:val="24"/>
                <w:highlight w:val="none"/>
              </w:rPr>
            </w:pPr>
            <w:r>
              <w:rPr>
                <w:sz w:val="24"/>
                <w:highlight w:val="none"/>
              </w:rPr>
              <w:t>4</w:t>
            </w:r>
          </w:p>
        </w:tc>
        <w:tc>
          <w:tcPr>
            <w:tcW w:w="9229" w:type="dxa"/>
            <w:noWrap w:val="0"/>
            <w:vAlign w:val="center"/>
          </w:tcPr>
          <w:p>
            <w:pPr>
              <w:spacing w:line="300" w:lineRule="exact"/>
              <w:rPr>
                <w:b/>
                <w:bCs/>
                <w:sz w:val="24"/>
                <w:highlight w:val="none"/>
              </w:rPr>
            </w:pPr>
            <w:r>
              <w:rPr>
                <w:b/>
                <w:bCs/>
                <w:sz w:val="24"/>
                <w:highlight w:val="none"/>
              </w:rPr>
              <w:t>质量要求：一次验收达到相关规范要求质量合格标准。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noWrap w:val="0"/>
            <w:vAlign w:val="center"/>
          </w:tcPr>
          <w:p>
            <w:pPr>
              <w:spacing w:line="300" w:lineRule="exact"/>
              <w:rPr>
                <w:sz w:val="24"/>
                <w:highlight w:val="none"/>
              </w:rPr>
            </w:pPr>
            <w:r>
              <w:rPr>
                <w:b/>
                <w:sz w:val="24"/>
                <w:highlight w:val="none"/>
              </w:rPr>
              <w:t>本采购采用一次性报价。</w:t>
            </w:r>
            <w:r>
              <w:rPr>
                <w:b/>
                <w:bCs/>
                <w:sz w:val="24"/>
                <w:highlight w:val="none"/>
              </w:rPr>
              <w:t>本项目</w:t>
            </w:r>
            <w:r>
              <w:rPr>
                <w:rFonts w:hint="eastAsia"/>
                <w:b/>
                <w:bCs/>
                <w:sz w:val="24"/>
                <w:highlight w:val="none"/>
                <w:lang w:val="en-US" w:eastAsia="zh-CN"/>
              </w:rPr>
              <w:t>A1合同段</w:t>
            </w:r>
            <w:r>
              <w:rPr>
                <w:b/>
                <w:bCs/>
                <w:sz w:val="24"/>
                <w:highlight w:val="none"/>
              </w:rPr>
              <w:t>最高控制价</w:t>
            </w:r>
            <w:r>
              <w:rPr>
                <w:rFonts w:hint="eastAsia"/>
                <w:b/>
                <w:bCs/>
                <w:sz w:val="24"/>
                <w:highlight w:val="none"/>
                <w:u w:val="single"/>
                <w:lang w:val="en-US" w:eastAsia="zh-CN"/>
              </w:rPr>
              <w:t>576332.45</w:t>
            </w:r>
            <w:r>
              <w:rPr>
                <w:b/>
                <w:bCs/>
                <w:sz w:val="24"/>
                <w:highlight w:val="none"/>
              </w:rPr>
              <w:t>元（含税）</w:t>
            </w:r>
            <w:r>
              <w:rPr>
                <w:rFonts w:hint="eastAsia"/>
                <w:b/>
                <w:bCs/>
                <w:sz w:val="24"/>
                <w:highlight w:val="none"/>
                <w:lang w:eastAsia="zh-CN"/>
              </w:rPr>
              <w:t>，</w:t>
            </w:r>
            <w:r>
              <w:rPr>
                <w:rFonts w:hint="eastAsia"/>
                <w:b/>
                <w:bCs/>
                <w:sz w:val="24"/>
                <w:highlight w:val="none"/>
              </w:rPr>
              <w:t>报价</w:t>
            </w:r>
            <w:r>
              <w:rPr>
                <w:b/>
                <w:bCs/>
                <w:sz w:val="24"/>
                <w:highlight w:val="none"/>
              </w:rPr>
              <w:t>人的</w:t>
            </w:r>
            <w:r>
              <w:rPr>
                <w:rFonts w:hint="eastAsia"/>
                <w:b/>
                <w:bCs/>
                <w:sz w:val="24"/>
                <w:highlight w:val="none"/>
              </w:rPr>
              <w:t>总价</w:t>
            </w:r>
            <w:r>
              <w:rPr>
                <w:b/>
                <w:bCs/>
                <w:sz w:val="24"/>
                <w:highlight w:val="none"/>
              </w:rPr>
              <w:t>超过最高控制价的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14" w:type="dxa"/>
            <w:noWrap w:val="0"/>
            <w:vAlign w:val="center"/>
          </w:tcPr>
          <w:p>
            <w:pPr>
              <w:spacing w:line="340" w:lineRule="exact"/>
              <w:jc w:val="center"/>
              <w:rPr>
                <w:sz w:val="24"/>
                <w:highlight w:val="none"/>
              </w:rPr>
            </w:pPr>
            <w:r>
              <w:rPr>
                <w:sz w:val="24"/>
                <w:highlight w:val="none"/>
              </w:rPr>
              <w:t>5.2</w:t>
            </w:r>
          </w:p>
        </w:tc>
        <w:tc>
          <w:tcPr>
            <w:tcW w:w="9229" w:type="dxa"/>
            <w:noWrap w:val="0"/>
            <w:vAlign w:val="center"/>
          </w:tcPr>
          <w:p>
            <w:pPr>
              <w:spacing w:line="300" w:lineRule="exact"/>
              <w:rPr>
                <w:sz w:val="24"/>
                <w:highlight w:val="none"/>
              </w:rPr>
            </w:pPr>
            <w:r>
              <w:rPr>
                <w:sz w:val="24"/>
                <w:highlight w:val="none"/>
              </w:rPr>
              <w:t>本项目的报价内容包括：</w:t>
            </w:r>
          </w:p>
          <w:p>
            <w:pPr>
              <w:spacing w:line="300" w:lineRule="exact"/>
              <w:rPr>
                <w:rFonts w:hint="eastAsia"/>
                <w:sz w:val="24"/>
                <w:highlight w:val="none"/>
                <w:lang w:eastAsia="zh-CN"/>
              </w:rPr>
            </w:pPr>
            <w:r>
              <w:rPr>
                <w:rFonts w:hint="eastAsia"/>
                <w:sz w:val="24"/>
                <w:highlight w:val="none"/>
                <w:lang w:val="en-US" w:eastAsia="zh-CN"/>
              </w:rPr>
              <w:t>A1合同段：</w:t>
            </w:r>
            <w:r>
              <w:rPr>
                <w:rFonts w:hint="eastAsia"/>
                <w:sz w:val="24"/>
                <w:highlight w:val="none"/>
              </w:rPr>
              <w:t>包含为实施和完成本工程实体所需的所有费用，</w:t>
            </w:r>
            <w:r>
              <w:rPr>
                <w:rFonts w:hint="eastAsia"/>
                <w:sz w:val="24"/>
                <w:highlight w:val="none"/>
                <w:lang w:val="en-US" w:eastAsia="zh-CN"/>
              </w:rPr>
              <w:t>包括雕塑的</w:t>
            </w:r>
            <w:r>
              <w:rPr>
                <w:rFonts w:hint="eastAsia"/>
                <w:color w:val="FF0000"/>
                <w:sz w:val="24"/>
                <w:highlight w:val="none"/>
                <w:lang w:val="en-US" w:eastAsia="zh-CN"/>
              </w:rPr>
              <w:t>二次深化设计、施工、安装、维护；</w:t>
            </w:r>
            <w:r>
              <w:rPr>
                <w:rFonts w:hint="eastAsia"/>
                <w:sz w:val="24"/>
                <w:highlight w:val="none"/>
              </w:rPr>
              <w:t>劳务、材料、机械设备、质检（自检）、安全、缺陷修复、安全布控、管理、驻地建设、保险、利润、税费等费用及合同明示或暗示的所有责任、义务和一般风险</w:t>
            </w:r>
            <w:r>
              <w:rPr>
                <w:rFonts w:hint="eastAsia"/>
                <w:sz w:val="24"/>
                <w:highlight w:val="none"/>
                <w:lang w:eastAsia="zh-CN"/>
              </w:rPr>
              <w:t>；</w:t>
            </w:r>
          </w:p>
          <w:p>
            <w:pPr>
              <w:spacing w:line="300" w:lineRule="exact"/>
              <w:rPr>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6</w:t>
            </w:r>
          </w:p>
        </w:tc>
        <w:tc>
          <w:tcPr>
            <w:tcW w:w="9229" w:type="dxa"/>
            <w:noWrap w:val="0"/>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7</w:t>
            </w:r>
          </w:p>
        </w:tc>
        <w:tc>
          <w:tcPr>
            <w:tcW w:w="9229" w:type="dxa"/>
            <w:noWrap w:val="0"/>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8</w:t>
            </w:r>
          </w:p>
        </w:tc>
        <w:tc>
          <w:tcPr>
            <w:tcW w:w="9229" w:type="dxa"/>
            <w:noWrap w:val="0"/>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9</w:t>
            </w:r>
          </w:p>
        </w:tc>
        <w:tc>
          <w:tcPr>
            <w:tcW w:w="9229" w:type="dxa"/>
            <w:noWrap w:val="0"/>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10</w:t>
            </w:r>
          </w:p>
        </w:tc>
        <w:tc>
          <w:tcPr>
            <w:tcW w:w="9229" w:type="dxa"/>
            <w:noWrap w:val="0"/>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11</w:t>
            </w:r>
          </w:p>
        </w:tc>
        <w:tc>
          <w:tcPr>
            <w:tcW w:w="9229" w:type="dxa"/>
            <w:noWrap w:val="0"/>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sz w:val="24"/>
                <w:highlight w:val="none"/>
              </w:rPr>
              <w:t>工程量清单</w:t>
            </w:r>
            <w:r>
              <w:rPr>
                <w:rFonts w:hint="eastAsia"/>
                <w:sz w:val="24"/>
                <w:highlight w:val="none"/>
              </w:rPr>
              <w:t>、</w:t>
            </w:r>
            <w:r>
              <w:rPr>
                <w:rFonts w:hint="eastAsia" w:ascii="宋体" w:hAnsi="宋体" w:eastAsia="宋体" w:cs="宋体"/>
                <w:sz w:val="24"/>
                <w:highlight w:val="none"/>
                <w:lang w:eastAsia="zh-CN"/>
              </w:rPr>
              <w:t>⑦</w:t>
            </w:r>
            <w:r>
              <w:rPr>
                <w:sz w:val="24"/>
                <w:highlight w:val="none"/>
              </w:rPr>
              <w:t>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12</w:t>
            </w:r>
          </w:p>
        </w:tc>
        <w:tc>
          <w:tcPr>
            <w:tcW w:w="9229" w:type="dxa"/>
            <w:noWrap w:val="0"/>
            <w:vAlign w:val="center"/>
          </w:tcPr>
          <w:p>
            <w:pPr>
              <w:spacing w:line="300" w:lineRule="exact"/>
              <w:jc w:val="both"/>
              <w:rPr>
                <w:rFonts w:hint="eastAsia"/>
                <w:sz w:val="24"/>
                <w:highlight w:val="none"/>
              </w:rPr>
            </w:pPr>
            <w:r>
              <w:rPr>
                <w:sz w:val="24"/>
                <w:highlight w:val="none"/>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w:t>
            </w:r>
            <w:r>
              <w:rPr>
                <w:sz w:val="24"/>
                <w:highlight w:val="none"/>
              </w:rPr>
              <w:t>份证明或授权委托书</w:t>
            </w:r>
            <w:r>
              <w:rPr>
                <w:rFonts w:hint="eastAsia"/>
                <w:sz w:val="24"/>
                <w:highlight w:val="none"/>
              </w:rPr>
              <w:t>、④</w:t>
            </w:r>
            <w:r>
              <w:rPr>
                <w:rFonts w:hint="eastAsia"/>
                <w:sz w:val="24"/>
                <w:highlight w:val="none"/>
                <w:lang w:val="en-US" w:eastAsia="zh-CN"/>
              </w:rPr>
              <w:t>营业执照</w:t>
            </w:r>
            <w:r>
              <w:rPr>
                <w:rFonts w:hint="eastAsia"/>
                <w:sz w:val="24"/>
                <w:highlight w:val="none"/>
              </w:rPr>
              <w:t>、</w:t>
            </w:r>
            <w:r>
              <w:rPr>
                <w:rFonts w:hint="eastAsia" w:ascii="宋体" w:hAnsi="宋体" w:eastAsia="宋体" w:cs="宋体"/>
                <w:sz w:val="24"/>
                <w:highlight w:val="none"/>
              </w:rPr>
              <w:t>⑤二次深化设计及说明文件</w:t>
            </w:r>
            <w:r>
              <w:rPr>
                <w:rFonts w:hint="eastAsia" w:ascii="宋体" w:hAnsi="宋体" w:eastAsia="宋体" w:cs="宋体"/>
                <w:sz w:val="24"/>
                <w:highlight w:val="none"/>
                <w:lang w:eastAsia="zh-CN"/>
              </w:rPr>
              <w:t>、</w:t>
            </w:r>
            <w:r>
              <w:rPr>
                <w:rFonts w:hint="eastAsia"/>
                <w:sz w:val="24"/>
                <w:highlight w:val="none"/>
              </w:rPr>
              <w:t>⑥</w:t>
            </w:r>
            <w:r>
              <w:rPr>
                <w:rFonts w:hint="eastAsia" w:ascii="宋体" w:hAnsi="宋体" w:cs="宋体"/>
                <w:sz w:val="24"/>
                <w:highlight w:val="none"/>
                <w:lang w:val="en-US" w:eastAsia="zh-CN"/>
              </w:rPr>
              <w:t>其他资料</w:t>
            </w:r>
            <w:r>
              <w:rPr>
                <w:rFonts w:hint="eastAsia"/>
                <w:sz w:val="24"/>
                <w:highlight w:val="none"/>
              </w:rPr>
              <w:t>。</w:t>
            </w:r>
          </w:p>
          <w:p>
            <w:pPr>
              <w:pStyle w:val="2"/>
              <w:ind w:left="0" w:leftChars="0" w:firstLine="0" w:firstLineChars="0"/>
              <w:jc w:val="both"/>
              <w:rPr>
                <w:highlight w:val="none"/>
              </w:rPr>
            </w:pPr>
            <w:r>
              <w:rPr>
                <w:rFonts w:hint="eastAsia"/>
                <w:sz w:val="24"/>
                <w:szCs w:val="24"/>
                <w:highlight w:val="none"/>
              </w:rPr>
              <w:t>以上材料均应逐页（含封面）加盖报价单位公章，报价文件应装订成册、不得出现活页。报价人对提供相关证件的合法性负责，如有虚假按作废处理。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13</w:t>
            </w:r>
          </w:p>
        </w:tc>
        <w:tc>
          <w:tcPr>
            <w:tcW w:w="9229" w:type="dxa"/>
            <w:noWrap w:val="0"/>
            <w:vAlign w:val="center"/>
          </w:tcPr>
          <w:p>
            <w:pPr>
              <w:rPr>
                <w:rFonts w:hint="eastAsia"/>
                <w:sz w:val="24"/>
                <w:highlight w:val="none"/>
              </w:rPr>
            </w:pPr>
            <w:r>
              <w:rPr>
                <w:rFonts w:hint="eastAsia"/>
                <w:b/>
                <w:bCs/>
                <w:sz w:val="24"/>
                <w:highlight w:val="none"/>
              </w:rPr>
              <w:t>本项目报价保证金：</w:t>
            </w:r>
            <w:r>
              <w:rPr>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14</w:t>
            </w:r>
          </w:p>
        </w:tc>
        <w:tc>
          <w:tcPr>
            <w:tcW w:w="9229" w:type="dxa"/>
            <w:noWrap w:val="0"/>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lang w:val="en-US" w:eastAsia="zh-CN"/>
              </w:rPr>
              <w:t>1</w:t>
            </w:r>
            <w:r>
              <w:rPr>
                <w:sz w:val="24"/>
                <w:highlight w:val="none"/>
                <w:u w:val="single"/>
              </w:rPr>
              <w:t xml:space="preserve"> </w:t>
            </w:r>
            <w:r>
              <w:rPr>
                <w:sz w:val="24"/>
                <w:highlight w:val="none"/>
              </w:rPr>
              <w:t>份，共</w:t>
            </w:r>
            <w:r>
              <w:rPr>
                <w:rFonts w:hint="eastAsia"/>
                <w:sz w:val="24"/>
                <w:highlight w:val="none"/>
                <w:u w:val="single"/>
              </w:rPr>
              <w:t xml:space="preserve"> </w:t>
            </w:r>
            <w:r>
              <w:rPr>
                <w:rFonts w:hint="eastAsia"/>
                <w:sz w:val="24"/>
                <w:highlight w:val="none"/>
                <w:u w:val="single"/>
                <w:lang w:val="en-US" w:eastAsia="zh-CN"/>
              </w:rPr>
              <w:t>2</w:t>
            </w:r>
            <w:r>
              <w:rPr>
                <w:rFonts w:hint="eastAsia"/>
                <w:sz w:val="24"/>
                <w:highlight w:val="none"/>
                <w:u w:val="single"/>
              </w:rPr>
              <w:t xml:space="preserve"> </w:t>
            </w:r>
            <w:r>
              <w:rPr>
                <w:sz w:val="24"/>
                <w:highlight w:val="none"/>
              </w:rPr>
              <w:t>份，</w:t>
            </w:r>
          </w:p>
          <w:p>
            <w:pPr>
              <w:spacing w:line="300" w:lineRule="exact"/>
              <w:rPr>
                <w:rFonts w:hint="eastAsia"/>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cs="宋体"/>
                <w:sz w:val="24"/>
                <w:highlight w:val="none"/>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福州市闽侯县上街中美村福银高速公路福州西出口左侧养护大楼旁（福州高</w:t>
            </w:r>
            <w:r>
              <w:rPr>
                <w:rFonts w:hint="eastAsia" w:ascii="宋体" w:hAnsi="宋体" w:cs="宋体"/>
                <w:sz w:val="24"/>
                <w:highlight w:val="none"/>
                <w:u w:val="single"/>
              </w:rPr>
              <w:t>速交警3大队后）2层小楼</w:t>
            </w:r>
          </w:p>
          <w:p>
            <w:pPr>
              <w:rPr>
                <w:rFonts w:hint="eastAsia" w:ascii="宋体" w:hAnsi="宋体" w:cs="宋体"/>
                <w:sz w:val="24"/>
                <w:highlight w:val="none"/>
                <w:u w:val="single"/>
              </w:rPr>
            </w:pPr>
            <w:r>
              <w:rPr>
                <w:rFonts w:hint="eastAsia" w:ascii="宋体" w:hAnsi="宋体" w:cs="宋体"/>
                <w:sz w:val="24"/>
                <w:highlight w:val="none"/>
              </w:rPr>
              <w:t>采购人名称：</w:t>
            </w:r>
            <w:r>
              <w:rPr>
                <w:rFonts w:hint="eastAsia" w:ascii="宋体" w:hAnsi="宋体" w:cs="宋体"/>
                <w:sz w:val="24"/>
                <w:highlight w:val="none"/>
                <w:u w:val="single"/>
              </w:rPr>
              <w:t>福州川达公路养护工程有限公司</w:t>
            </w:r>
          </w:p>
          <w:p>
            <w:pPr>
              <w:rPr>
                <w:rFonts w:hint="eastAsia" w:ascii="宋体" w:hAnsi="宋体" w:cs="宋体"/>
                <w:sz w:val="24"/>
                <w:highlight w:val="none"/>
                <w:u w:val="single"/>
              </w:rPr>
            </w:pPr>
            <w:r>
              <w:rPr>
                <w:rFonts w:hint="eastAsia" w:ascii="宋体" w:hAnsi="宋体" w:cs="宋体"/>
                <w:sz w:val="24"/>
                <w:highlight w:val="none"/>
                <w:u w:val="single"/>
              </w:rPr>
              <w:t>福建省高速公路养护工程有限公司项目经理部一</w:t>
            </w:r>
          </w:p>
          <w:p>
            <w:pPr>
              <w:pStyle w:val="2"/>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合同包：</w:t>
            </w:r>
            <w:r>
              <w:rPr>
                <w:rFonts w:hint="eastAsia" w:ascii="宋体" w:hAnsi="宋体" w:cs="宋体"/>
                <w:sz w:val="24"/>
                <w:szCs w:val="24"/>
                <w:highlight w:val="none"/>
                <w:u w:val="single"/>
              </w:rPr>
              <w:t>1</w:t>
            </w:r>
            <w:r>
              <w:rPr>
                <w:rFonts w:hint="eastAsia" w:ascii="宋体" w:hAnsi="宋体" w:cs="宋体"/>
                <w:sz w:val="24"/>
                <w:szCs w:val="24"/>
                <w:highlight w:val="none"/>
              </w:rPr>
              <w:t>。</w:t>
            </w:r>
          </w:p>
          <w:p>
            <w:pPr>
              <w:rPr>
                <w:rFonts w:hint="eastAsia"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 xml:space="preserve">2022年 </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15时30</w:t>
            </w:r>
            <w:r>
              <w:rPr>
                <w:rFonts w:hint="eastAsia" w:ascii="宋体" w:hAnsi="宋体" w:cs="宋体"/>
                <w:sz w:val="24"/>
                <w:highlight w:val="none"/>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15</w:t>
            </w:r>
          </w:p>
        </w:tc>
        <w:tc>
          <w:tcPr>
            <w:tcW w:w="9229" w:type="dxa"/>
            <w:noWrap w:val="0"/>
            <w:vAlign w:val="center"/>
          </w:tcPr>
          <w:p>
            <w:pPr>
              <w:spacing w:line="300" w:lineRule="exact"/>
              <w:rPr>
                <w:color w:val="FF0000"/>
                <w:sz w:val="24"/>
                <w:highlight w:val="none"/>
                <w:u w:val="wave"/>
              </w:rPr>
            </w:pPr>
            <w:r>
              <w:rPr>
                <w:color w:val="auto"/>
                <w:sz w:val="24"/>
                <w:highlight w:val="none"/>
                <w:u w:val="none"/>
              </w:rPr>
              <w:t>每一报价文件</w:t>
            </w:r>
            <w:r>
              <w:rPr>
                <w:rFonts w:hint="eastAsia"/>
                <w:color w:val="auto"/>
                <w:sz w:val="24"/>
                <w:highlight w:val="none"/>
                <w:u w:val="none"/>
                <w:lang w:val="en-US" w:eastAsia="zh-CN"/>
              </w:rPr>
              <w:t>只可</w:t>
            </w:r>
            <w:r>
              <w:rPr>
                <w:color w:val="auto"/>
                <w:sz w:val="24"/>
                <w:highlight w:val="none"/>
                <w:u w:val="none"/>
              </w:rPr>
              <w:t>包含</w:t>
            </w:r>
            <w:r>
              <w:rPr>
                <w:rFonts w:hint="eastAsia"/>
                <w:color w:val="auto"/>
                <w:sz w:val="24"/>
                <w:highlight w:val="none"/>
                <w:u w:val="none"/>
                <w:lang w:val="en-US" w:eastAsia="zh-CN"/>
              </w:rPr>
              <w:t>1</w:t>
            </w:r>
            <w:r>
              <w:rPr>
                <w:color w:val="auto"/>
                <w:sz w:val="24"/>
                <w:highlight w:val="none"/>
                <w:u w:val="none"/>
              </w:rPr>
              <w:t>个合同包的</w:t>
            </w:r>
            <w:r>
              <w:rPr>
                <w:rFonts w:hint="eastAsia"/>
                <w:color w:val="auto"/>
                <w:sz w:val="24"/>
                <w:highlight w:val="none"/>
                <w:u w:val="none"/>
              </w:rPr>
              <w:t>报价</w:t>
            </w:r>
            <w:r>
              <w:rPr>
                <w:color w:val="auto"/>
                <w:sz w:val="24"/>
                <w:highlight w:val="none"/>
                <w:u w:val="none"/>
              </w:rPr>
              <w:t>，但同一合同包不能有两份（含两份）以上报价，否则该报价文件按</w:t>
            </w:r>
            <w:r>
              <w:rPr>
                <w:rFonts w:hint="eastAsia"/>
                <w:color w:val="auto"/>
                <w:sz w:val="24"/>
                <w:highlight w:val="none"/>
                <w:u w:val="none"/>
              </w:rPr>
              <w:t>否决报价</w:t>
            </w:r>
            <w:r>
              <w:rPr>
                <w:color w:val="auto"/>
                <w:sz w:val="24"/>
                <w:highlight w:val="none"/>
                <w:u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16</w:t>
            </w:r>
          </w:p>
        </w:tc>
        <w:tc>
          <w:tcPr>
            <w:tcW w:w="9229" w:type="dxa"/>
            <w:noWrap w:val="0"/>
            <w:vAlign w:val="center"/>
          </w:tcPr>
          <w:p>
            <w:pPr>
              <w:rPr>
                <w:rFonts w:hAnsi="宋体"/>
                <w:sz w:val="24"/>
                <w:highlight w:val="none"/>
              </w:rPr>
            </w:pPr>
            <w:r>
              <w:rPr>
                <w:b/>
                <w:sz w:val="24"/>
                <w:highlight w:val="none"/>
              </w:rPr>
              <w:t>履约保证金：</w:t>
            </w:r>
            <w:r>
              <w:rPr>
                <w:rFonts w:hAnsi="宋体"/>
                <w:sz w:val="24"/>
                <w:highlight w:val="none"/>
              </w:rPr>
              <w:t>成交供应商应在收到成交通知书</w:t>
            </w:r>
            <w:r>
              <w:rPr>
                <w:rFonts w:hint="eastAsia" w:hAnsi="宋体"/>
                <w:sz w:val="24"/>
                <w:highlight w:val="none"/>
                <w:lang w:val="en-US" w:eastAsia="zh-CN"/>
              </w:rPr>
              <w:t>7</w:t>
            </w:r>
            <w:r>
              <w:rPr>
                <w:rFonts w:hint="eastAsia" w:hAnsi="宋体"/>
                <w:sz w:val="24"/>
                <w:highlight w:val="none"/>
              </w:rPr>
              <w:t>个日历天</w:t>
            </w:r>
            <w:r>
              <w:rPr>
                <w:rFonts w:hAnsi="宋体"/>
                <w:sz w:val="24"/>
                <w:highlight w:val="none"/>
              </w:rPr>
              <w:t>内，向采购人缴纳合同含税总价5%的履约保证金或履约保函(银行或保险保函)，若成交人未能及时提交，采购人可视为</w:t>
            </w:r>
            <w:r>
              <w:rPr>
                <w:rFonts w:hint="eastAsia" w:hAnsi="宋体"/>
                <w:sz w:val="24"/>
                <w:highlight w:val="none"/>
              </w:rPr>
              <w:t>成交人</w:t>
            </w:r>
            <w:r>
              <w:rPr>
                <w:rFonts w:hAnsi="宋体"/>
                <w:sz w:val="24"/>
                <w:highlight w:val="none"/>
              </w:rPr>
              <w:t>自愿放弃</w:t>
            </w:r>
            <w:r>
              <w:rPr>
                <w:rFonts w:hint="eastAsia" w:hAnsi="宋体"/>
                <w:sz w:val="24"/>
                <w:highlight w:val="none"/>
              </w:rPr>
              <w:t>成交</w:t>
            </w:r>
            <w:r>
              <w:rPr>
                <w:rFonts w:hAnsi="宋体"/>
                <w:sz w:val="24"/>
                <w:highlight w:val="none"/>
              </w:rPr>
              <w:t>。</w:t>
            </w:r>
          </w:p>
          <w:p>
            <w:pPr>
              <w:spacing w:line="300" w:lineRule="exact"/>
              <w:rPr>
                <w:sz w:val="24"/>
                <w:highlight w:val="none"/>
              </w:rPr>
            </w:pPr>
            <w:r>
              <w:rPr>
                <w:rFonts w:hAnsi="宋体"/>
                <w:b/>
                <w:bCs/>
                <w:sz w:val="24"/>
                <w:highlight w:val="none"/>
              </w:rPr>
              <w:t>履约保证金在本</w:t>
            </w:r>
            <w:r>
              <w:rPr>
                <w:rFonts w:hint="eastAsia" w:hAnsi="宋体"/>
                <w:b/>
                <w:bCs/>
                <w:sz w:val="24"/>
                <w:highlight w:val="none"/>
              </w:rPr>
              <w:t>项目业主</w:t>
            </w:r>
            <w:r>
              <w:rPr>
                <w:rFonts w:hAnsi="宋体"/>
                <w:b/>
                <w:bCs/>
                <w:sz w:val="24"/>
                <w:highlight w:val="none"/>
              </w:rPr>
              <w:t>验收合格之日起</w:t>
            </w:r>
            <w:r>
              <w:rPr>
                <w:b/>
                <w:bCs/>
                <w:sz w:val="24"/>
                <w:highlight w:val="none"/>
              </w:rPr>
              <w:t>14</w:t>
            </w:r>
            <w:r>
              <w:rPr>
                <w:rFonts w:hAnsi="宋体"/>
                <w:b/>
                <w:bCs/>
                <w:sz w:val="24"/>
                <w:highlight w:val="none"/>
              </w:rPr>
              <w:t>个工作日内一次性</w:t>
            </w:r>
            <w:r>
              <w:rPr>
                <w:rFonts w:hint="eastAsia" w:hAnsi="宋体"/>
                <w:b/>
                <w:bCs/>
                <w:sz w:val="24"/>
                <w:highlight w:val="none"/>
              </w:rPr>
              <w:t>无息</w:t>
            </w:r>
            <w:r>
              <w:rPr>
                <w:rFonts w:hAnsi="宋体"/>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17</w:t>
            </w:r>
          </w:p>
        </w:tc>
        <w:tc>
          <w:tcPr>
            <w:tcW w:w="9229" w:type="dxa"/>
            <w:noWrap w:val="0"/>
            <w:vAlign w:val="center"/>
          </w:tcPr>
          <w:p>
            <w:pPr>
              <w:spacing w:line="300" w:lineRule="exact"/>
              <w:rPr>
                <w:sz w:val="24"/>
                <w:highlight w:val="none"/>
              </w:rPr>
            </w:pPr>
            <w:r>
              <w:rPr>
                <w:b/>
                <w:sz w:val="24"/>
                <w:highlight w:val="none"/>
              </w:rPr>
              <w:t>缺陷责任期：</w:t>
            </w:r>
            <w:r>
              <w:rPr>
                <w:rFonts w:hint="eastAsia"/>
                <w:b/>
                <w:sz w:val="24"/>
                <w:highlight w:val="none"/>
              </w:rPr>
              <w:t>以业主</w:t>
            </w:r>
            <w:r>
              <w:rPr>
                <w:b/>
                <w:sz w:val="24"/>
                <w:highlight w:val="none"/>
              </w:rPr>
              <w:t>验收合格之日起</w:t>
            </w:r>
            <w:r>
              <w:rPr>
                <w:rFonts w:hint="eastAsia"/>
                <w:b/>
                <w:sz w:val="24"/>
                <w:highlight w:val="none"/>
                <w:lang w:val="en-US" w:eastAsia="zh-CN"/>
              </w:rPr>
              <w:t>壹</w:t>
            </w:r>
            <w:r>
              <w:rPr>
                <w:b/>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18</w:t>
            </w:r>
          </w:p>
        </w:tc>
        <w:tc>
          <w:tcPr>
            <w:tcW w:w="9229" w:type="dxa"/>
            <w:noWrap w:val="0"/>
            <w:vAlign w:val="center"/>
          </w:tcPr>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19</w:t>
            </w:r>
          </w:p>
        </w:tc>
        <w:tc>
          <w:tcPr>
            <w:tcW w:w="9229" w:type="dxa"/>
            <w:noWrap w:val="0"/>
            <w:vAlign w:val="center"/>
          </w:tcPr>
          <w:p>
            <w:pPr>
              <w:spacing w:line="300" w:lineRule="exact"/>
              <w:rPr>
                <w:b/>
                <w:sz w:val="24"/>
                <w:highlight w:val="none"/>
              </w:rPr>
            </w:pPr>
            <w:r>
              <w:rPr>
                <w:b/>
                <w:sz w:val="24"/>
                <w:highlight w:val="none"/>
              </w:rPr>
              <w:t>结算支付</w:t>
            </w:r>
          </w:p>
          <w:p>
            <w:pPr>
              <w:pStyle w:val="12"/>
              <w:numPr>
                <w:ilvl w:val="0"/>
                <w:numId w:val="1"/>
              </w:numPr>
              <w:rPr>
                <w:rFonts w:hint="eastAsia" w:cs="Tahoma"/>
                <w:color w:val="FF0000"/>
                <w:sz w:val="24"/>
                <w:szCs w:val="24"/>
                <w:highlight w:val="none"/>
              </w:rPr>
            </w:pPr>
            <w:r>
              <w:rPr>
                <w:rFonts w:hint="eastAsia" w:cs="Tahoma"/>
                <w:color w:val="FF0000"/>
                <w:sz w:val="24"/>
                <w:szCs w:val="24"/>
                <w:highlight w:val="none"/>
              </w:rPr>
              <w:t>合同签订后</w:t>
            </w:r>
            <w:r>
              <w:rPr>
                <w:rFonts w:hint="eastAsia" w:cs="Tahoma"/>
                <w:color w:val="FF0000"/>
                <w:sz w:val="24"/>
                <w:szCs w:val="24"/>
                <w:highlight w:val="none"/>
                <w:lang w:eastAsia="zh-CN"/>
              </w:rPr>
              <w:t>七</w:t>
            </w:r>
            <w:r>
              <w:rPr>
                <w:rFonts w:hint="eastAsia" w:cs="Tahoma"/>
                <w:color w:val="FF0000"/>
                <w:sz w:val="24"/>
                <w:szCs w:val="24"/>
                <w:highlight w:val="none"/>
              </w:rPr>
              <w:t>日内支付工程总价的</w:t>
            </w:r>
            <w:r>
              <w:rPr>
                <w:rFonts w:hint="eastAsia" w:cs="Tahoma"/>
                <w:color w:val="FF0000"/>
                <w:sz w:val="24"/>
                <w:szCs w:val="24"/>
                <w:highlight w:val="none"/>
                <w:lang w:val="en-US" w:eastAsia="zh-CN"/>
              </w:rPr>
              <w:t>3</w:t>
            </w:r>
            <w:r>
              <w:rPr>
                <w:rFonts w:hint="eastAsia" w:cs="Tahoma"/>
                <w:color w:val="FF0000"/>
                <w:sz w:val="24"/>
                <w:szCs w:val="24"/>
                <w:highlight w:val="none"/>
              </w:rPr>
              <w:t>0%</w:t>
            </w:r>
            <w:r>
              <w:rPr>
                <w:rFonts w:hint="eastAsia" w:cs="Tahoma"/>
                <w:color w:val="FF0000"/>
                <w:sz w:val="24"/>
                <w:szCs w:val="24"/>
                <w:highlight w:val="none"/>
                <w:lang w:eastAsia="zh-CN"/>
              </w:rPr>
              <w:t>，</w:t>
            </w:r>
            <w:r>
              <w:rPr>
                <w:rFonts w:hint="eastAsia" w:cs="Tahoma"/>
                <w:color w:val="FF0000"/>
                <w:sz w:val="24"/>
                <w:szCs w:val="24"/>
                <w:highlight w:val="none"/>
              </w:rPr>
              <w:t>本合同项下所有雕塑</w:t>
            </w:r>
            <w:r>
              <w:rPr>
                <w:rFonts w:hint="eastAsia" w:cs="Tahoma"/>
                <w:color w:val="FF0000"/>
                <w:sz w:val="24"/>
                <w:szCs w:val="24"/>
                <w:highlight w:val="none"/>
                <w:lang w:val="en-US" w:eastAsia="zh-CN"/>
              </w:rPr>
              <w:t>施工</w:t>
            </w:r>
            <w:r>
              <w:rPr>
                <w:rFonts w:hint="eastAsia" w:cs="Tahoma"/>
                <w:color w:val="FF0000"/>
                <w:sz w:val="24"/>
                <w:szCs w:val="24"/>
                <w:highlight w:val="none"/>
              </w:rPr>
              <w:t>完毕，支付工程总价的</w:t>
            </w:r>
            <w:r>
              <w:rPr>
                <w:rFonts w:hint="eastAsia" w:cs="Tahoma"/>
                <w:color w:val="FF0000"/>
                <w:sz w:val="24"/>
                <w:szCs w:val="24"/>
                <w:highlight w:val="none"/>
                <w:lang w:val="en-US" w:eastAsia="zh-CN"/>
              </w:rPr>
              <w:t>4</w:t>
            </w:r>
            <w:r>
              <w:rPr>
                <w:rFonts w:hint="eastAsia" w:cs="Tahoma"/>
                <w:color w:val="FF0000"/>
                <w:sz w:val="24"/>
                <w:szCs w:val="24"/>
                <w:highlight w:val="none"/>
              </w:rPr>
              <w:t>0%</w:t>
            </w:r>
            <w:r>
              <w:rPr>
                <w:rFonts w:hint="eastAsia" w:cs="Tahoma"/>
                <w:color w:val="FF0000"/>
                <w:sz w:val="24"/>
                <w:szCs w:val="24"/>
                <w:highlight w:val="none"/>
                <w:lang w:eastAsia="zh-CN"/>
              </w:rPr>
              <w:t>，</w:t>
            </w:r>
            <w:r>
              <w:rPr>
                <w:rFonts w:hint="eastAsia" w:cs="Tahoma"/>
                <w:color w:val="FF0000"/>
                <w:sz w:val="24"/>
                <w:szCs w:val="24"/>
                <w:highlight w:val="none"/>
                <w:lang w:val="en-US" w:eastAsia="zh-CN"/>
              </w:rPr>
              <w:t>安装完成</w:t>
            </w:r>
            <w:r>
              <w:rPr>
                <w:rFonts w:hint="eastAsia" w:cs="Tahoma"/>
                <w:color w:val="FF0000"/>
                <w:sz w:val="24"/>
                <w:szCs w:val="24"/>
                <w:highlight w:val="none"/>
              </w:rPr>
              <w:t>经甲方组织验收合格后再支付工程总价的</w:t>
            </w:r>
            <w:r>
              <w:rPr>
                <w:rFonts w:hint="eastAsia" w:cs="Tahoma"/>
                <w:color w:val="FF0000"/>
                <w:sz w:val="24"/>
                <w:szCs w:val="24"/>
                <w:highlight w:val="none"/>
                <w:lang w:val="en-US" w:eastAsia="zh-CN"/>
              </w:rPr>
              <w:t>27</w:t>
            </w:r>
            <w:r>
              <w:rPr>
                <w:rFonts w:hint="eastAsia" w:cs="Tahoma"/>
                <w:color w:val="FF0000"/>
                <w:sz w:val="24"/>
                <w:szCs w:val="24"/>
                <w:highlight w:val="none"/>
              </w:rPr>
              <w:t>%</w:t>
            </w:r>
            <w:r>
              <w:rPr>
                <w:rFonts w:hint="eastAsia" w:cs="Tahoma"/>
                <w:color w:val="FF0000"/>
                <w:sz w:val="24"/>
                <w:szCs w:val="24"/>
                <w:highlight w:val="none"/>
                <w:lang w:eastAsia="zh-CN"/>
              </w:rPr>
              <w:t>，质量保证金</w:t>
            </w:r>
            <w:r>
              <w:rPr>
                <w:rFonts w:hint="eastAsia" w:cs="Tahoma"/>
                <w:color w:val="FF0000"/>
                <w:sz w:val="24"/>
                <w:szCs w:val="24"/>
                <w:highlight w:val="none"/>
                <w:lang w:val="en-US" w:eastAsia="zh-CN"/>
              </w:rPr>
              <w:t>3%，待缺陷责任期满后14个工作日内一次性无息退还</w:t>
            </w:r>
            <w:r>
              <w:rPr>
                <w:rFonts w:hint="eastAsia" w:cs="Tahoma"/>
                <w:color w:val="FF0000"/>
                <w:sz w:val="24"/>
                <w:szCs w:val="24"/>
                <w:highlight w:val="none"/>
              </w:rPr>
              <w:t>。</w:t>
            </w:r>
          </w:p>
          <w:p>
            <w:pPr>
              <w:pStyle w:val="12"/>
              <w:numPr>
                <w:ilvl w:val="0"/>
                <w:numId w:val="0"/>
              </w:numPr>
              <w:rPr>
                <w:b/>
                <w:sz w:val="24"/>
                <w:highlight w:val="none"/>
              </w:rPr>
            </w:pPr>
            <w:r>
              <w:rPr>
                <w:rFonts w:hint="eastAsia"/>
                <w:b/>
                <w:sz w:val="24"/>
                <w:highlight w:val="none"/>
              </w:rPr>
              <w:t>2.</w:t>
            </w:r>
            <w:r>
              <w:rPr>
                <w:b/>
                <w:sz w:val="24"/>
                <w:highlight w:val="none"/>
              </w:rPr>
              <w:t>本</w:t>
            </w:r>
            <w:r>
              <w:rPr>
                <w:rFonts w:hint="eastAsia"/>
                <w:b/>
                <w:sz w:val="24"/>
                <w:highlight w:val="none"/>
              </w:rPr>
              <w:t>项目</w:t>
            </w:r>
            <w:r>
              <w:rPr>
                <w:b/>
                <w:sz w:val="24"/>
                <w:highlight w:val="none"/>
              </w:rPr>
              <w:t>缺陷责任期为</w:t>
            </w:r>
            <w:r>
              <w:rPr>
                <w:rFonts w:hint="eastAsia"/>
                <w:b/>
                <w:sz w:val="24"/>
                <w:highlight w:val="none"/>
                <w:lang w:val="en-US" w:eastAsia="zh-CN"/>
              </w:rPr>
              <w:t>壹</w:t>
            </w:r>
            <w:r>
              <w:rPr>
                <w:b/>
                <w:sz w:val="24"/>
                <w:highlight w:val="none"/>
              </w:rPr>
              <w:t>年，缺陷责任期内若成交人未尽施工责任，采购人有权委托其他单位进行处理，成交人应无条件接受采购人所委托的价款并承担一切费用。</w:t>
            </w:r>
          </w:p>
          <w:p>
            <w:pPr>
              <w:spacing w:line="300" w:lineRule="exact"/>
              <w:rPr>
                <w:b/>
                <w:sz w:val="24"/>
                <w:highlight w:val="none"/>
              </w:rPr>
            </w:pPr>
            <w:r>
              <w:rPr>
                <w:rFonts w:hint="eastAsia"/>
                <w:b/>
                <w:sz w:val="24"/>
                <w:highlight w:val="none"/>
              </w:rPr>
              <w:t>3.</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commentRangeStart w:id="0"/>
            <w:r>
              <w:rPr>
                <w:b/>
                <w:sz w:val="24"/>
                <w:highlight w:val="none"/>
              </w:rPr>
              <w:t>。</w:t>
            </w:r>
            <w:commentRangeEnd w:id="0"/>
            <w:r>
              <w:rPr>
                <w:highlight w:val="none"/>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20</w:t>
            </w:r>
          </w:p>
        </w:tc>
        <w:tc>
          <w:tcPr>
            <w:tcW w:w="9229" w:type="dxa"/>
            <w:noWrap w:val="0"/>
            <w:vAlign w:val="center"/>
          </w:tcPr>
          <w:p>
            <w:pPr>
              <w:spacing w:line="300" w:lineRule="exact"/>
              <w:rPr>
                <w:rFonts w:hint="eastAsia"/>
                <w:b/>
                <w:sz w:val="24"/>
                <w:highlight w:val="none"/>
              </w:rPr>
            </w:pPr>
            <w:r>
              <w:rPr>
                <w:rFonts w:hint="eastAsia"/>
                <w:b/>
                <w:sz w:val="24"/>
                <w:highlight w:val="none"/>
              </w:rPr>
              <w:t>结算价调整：结算金额超出合同金额时，采用超额累进制进行价格调整。</w:t>
            </w:r>
          </w:p>
          <w:p>
            <w:pPr>
              <w:spacing w:line="300" w:lineRule="exact"/>
              <w:rPr>
                <w:rFonts w:hint="eastAsia"/>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rFonts w:hint="eastAsia"/>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rFonts w:hint="eastAsia"/>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21</w:t>
            </w:r>
          </w:p>
        </w:tc>
        <w:tc>
          <w:tcPr>
            <w:tcW w:w="9229" w:type="dxa"/>
            <w:noWrap w:val="0"/>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采购人新增或减少使用成交人的机械设备，成交人必须无条件配合，其费用将按附表1-1《机械设备费用标准表》、1-2《机械设备燃油及通行费用标准表》规定的价格，并按</w:t>
            </w:r>
            <w:r>
              <w:rPr>
                <w:rFonts w:hint="eastAsia"/>
                <w:b/>
                <w:sz w:val="24"/>
                <w:highlight w:val="none"/>
              </w:rPr>
              <w:t>成交</w:t>
            </w:r>
            <w:r>
              <w:rPr>
                <w:b/>
                <w:sz w:val="24"/>
                <w:highlight w:val="none"/>
              </w:rPr>
              <w:t>价与采购人的最高控制价的比例作为下浮系数给予增加或扣除。其中机械设备费用以实际使用天数（含进出场天数）按每月30天折算后进行结算，燃油及通行费按实际使用台班数量进行结算。</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采购人实施的采购范围以外的工程项目，变更单价的作价原则为：按照采购人编制最高控制价的作价原则，机械设备单价按照附表1标准表，人工工日工资按198元/工日计算，工期按实际施工天数计算，并按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b/>
                <w:sz w:val="24"/>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22</w:t>
            </w:r>
          </w:p>
        </w:tc>
        <w:tc>
          <w:tcPr>
            <w:tcW w:w="9229" w:type="dxa"/>
            <w:noWrap w:val="0"/>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rPr>
                <w:rFonts w:hint="eastAsia" w:hAnsi="宋体"/>
                <w:color w:val="000000"/>
                <w:sz w:val="24"/>
                <w:highlight w:val="none"/>
              </w:rPr>
            </w:pPr>
            <w:r>
              <w:rPr>
                <w:rFonts w:hAnsi="宋体"/>
                <w:color w:val="000000"/>
                <w:sz w:val="24"/>
                <w:highlight w:val="none"/>
              </w:rPr>
              <w:t>1.当发生下列情况时，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hAnsi="宋体"/>
                <w:color w:val="000000"/>
                <w:sz w:val="24"/>
                <w:highlight w:val="none"/>
              </w:rPr>
            </w:pPr>
            <w:r>
              <w:rPr>
                <w:rFonts w:hAnsi="宋体"/>
                <w:color w:val="000000"/>
                <w:sz w:val="24"/>
                <w:highlight w:val="none"/>
              </w:rPr>
              <w:t>（</w:t>
            </w:r>
            <w:r>
              <w:rPr>
                <w:rFonts w:hint="eastAsia" w:hAnsi="宋体"/>
                <w:color w:val="000000"/>
                <w:sz w:val="24"/>
                <w:highlight w:val="none"/>
              </w:rPr>
              <w:t>1</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（2）未尽事宜，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w:t>
            </w:r>
            <w:r>
              <w:rPr>
                <w:rFonts w:hAnsi="宋体"/>
                <w:color w:val="000000"/>
                <w:sz w:val="24"/>
                <w:highlight w:val="none"/>
              </w:rPr>
              <w:t>附表4《</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下述</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rFonts w:hint="eastAsia" w:ascii="宋体" w:hAnsi="宋体" w:cs="宋体"/>
                <w:color w:val="000000"/>
                <w:sz w:val="24"/>
                <w:highlight w:val="none"/>
                <w:shd w:val="clear" w:color="auto" w:fill="FFFFFF"/>
              </w:rPr>
              <w:t>④</w:t>
            </w:r>
            <w:r>
              <w:rPr>
                <w:color w:val="000000"/>
                <w:sz w:val="24"/>
                <w:highlight w:val="none"/>
                <w:shd w:val="clear" w:color="auto" w:fill="FFFFFF"/>
              </w:rPr>
              <w:t>成交</w:t>
            </w:r>
            <w:r>
              <w:rPr>
                <w:rFonts w:hint="eastAsia" w:ascii="宋体" w:hAnsi="宋体" w:cs="宋体"/>
                <w:color w:val="000000"/>
                <w:sz w:val="24"/>
                <w:highlight w:val="none"/>
                <w:shd w:val="clear" w:color="auto" w:fill="FFFFFF"/>
              </w:rPr>
              <w:t>人在收到采购人发出的索赔报告和有关资料后</w:t>
            </w:r>
            <w:r>
              <w:rPr>
                <w:rFonts w:hAnsi="宋体"/>
                <w:color w:val="000000"/>
                <w:sz w:val="24"/>
                <w:highlight w:val="none"/>
              </w:rPr>
              <w:t>21天内</w:t>
            </w:r>
            <w:r>
              <w:rPr>
                <w:rFonts w:hint="eastAsia" w:ascii="宋体" w:hAnsi="宋体" w:cs="宋体"/>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23</w:t>
            </w:r>
          </w:p>
        </w:tc>
        <w:tc>
          <w:tcPr>
            <w:tcW w:w="9229" w:type="dxa"/>
            <w:noWrap w:val="0"/>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int="eastAsia"/>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 xml:space="preserve"> 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rPr>
                <w:rFonts w:hint="eastAsia"/>
                <w:sz w:val="24"/>
                <w:highlight w:val="none"/>
              </w:rPr>
            </w:pPr>
            <w:r>
              <w:rPr>
                <w:rFonts w:hAnsi="宋体"/>
                <w:b/>
                <w:bCs/>
                <w:sz w:val="24"/>
                <w:highlight w:val="none"/>
              </w:rPr>
              <w:t>3</w:t>
            </w:r>
            <w:r>
              <w:rPr>
                <w:rFonts w:hint="eastAsia" w:hAnsi="宋体"/>
                <w:b/>
                <w:bCs/>
                <w:sz w:val="24"/>
                <w:highlight w:val="none"/>
              </w:rPr>
              <w:t>.成交人至少提供雕塑设计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rFonts w:hint="eastAsia"/>
                <w:sz w:val="24"/>
                <w:highlight w:val="none"/>
              </w:rPr>
              <w:t>24</w:t>
            </w:r>
          </w:p>
        </w:tc>
        <w:tc>
          <w:tcPr>
            <w:tcW w:w="9229" w:type="dxa"/>
            <w:noWrap w:val="0"/>
            <w:vAlign w:val="center"/>
          </w:tcPr>
          <w:p>
            <w:pPr>
              <w:spacing w:line="300" w:lineRule="exact"/>
              <w:rPr>
                <w:rFonts w:hint="eastAsia"/>
                <w:b/>
                <w:sz w:val="24"/>
                <w:highlight w:val="none"/>
                <w:lang w:eastAsia="zh-CN"/>
              </w:rPr>
            </w:pPr>
            <w:r>
              <w:rPr>
                <w:b/>
                <w:sz w:val="24"/>
                <w:highlight w:val="none"/>
              </w:rPr>
              <w:t>机械设备</w:t>
            </w:r>
            <w:r>
              <w:rPr>
                <w:rFonts w:hint="eastAsia"/>
                <w:b/>
                <w:sz w:val="24"/>
                <w:highlight w:val="none"/>
                <w:lang w:eastAsia="zh-CN"/>
              </w:rPr>
              <w:t>：</w:t>
            </w:r>
          </w:p>
          <w:p>
            <w:pPr>
              <w:spacing w:line="300" w:lineRule="exact"/>
              <w:rPr>
                <w:sz w:val="24"/>
                <w:highlight w:val="none"/>
              </w:rPr>
            </w:pPr>
            <w:r>
              <w:rPr>
                <w:sz w:val="24"/>
                <w:highlight w:val="none"/>
              </w:rPr>
              <w:t>1</w:t>
            </w:r>
            <w:r>
              <w:rPr>
                <w:rFonts w:hint="eastAsia"/>
                <w:sz w:val="24"/>
                <w:highlight w:val="none"/>
              </w:rPr>
              <w:t>.成交人</w:t>
            </w:r>
            <w:r>
              <w:rPr>
                <w:sz w:val="24"/>
                <w:highlight w:val="none"/>
              </w:rPr>
              <w:t>进场后，应将进场设备清单报备采购人，在施工过程中，若</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人更换相应机械设备，采购人应无条件服从，更换产生的一切费用由</w:t>
            </w:r>
            <w:r>
              <w:rPr>
                <w:rFonts w:hint="eastAsia"/>
                <w:sz w:val="24"/>
                <w:highlight w:val="none"/>
              </w:rPr>
              <w:t>成交</w:t>
            </w:r>
            <w:r>
              <w:rPr>
                <w:sz w:val="24"/>
                <w:highlight w:val="none"/>
              </w:rPr>
              <w:t>人承担。</w:t>
            </w:r>
          </w:p>
          <w:p>
            <w:pPr>
              <w:spacing w:line="300" w:lineRule="exact"/>
              <w:rPr>
                <w:b/>
                <w:sz w:val="24"/>
                <w:highlight w:val="none"/>
              </w:rPr>
            </w:pPr>
            <w:r>
              <w:rPr>
                <w:b/>
                <w:sz w:val="24"/>
                <w:highlight w:val="none"/>
              </w:rPr>
              <w:t>2</w:t>
            </w:r>
            <w:r>
              <w:rPr>
                <w:rFonts w:hint="eastAsia"/>
                <w:b/>
                <w:sz w:val="24"/>
                <w:highlight w:val="none"/>
              </w:rPr>
              <w:t>.成交人</w:t>
            </w:r>
            <w:r>
              <w:rPr>
                <w:b/>
                <w:sz w:val="24"/>
                <w:highlight w:val="none"/>
              </w:rPr>
              <w:t>提供的所有机械设备在施工期间的燃油费、通行费、维修费、操作手工资等已含在</w:t>
            </w:r>
            <w:r>
              <w:rPr>
                <w:rFonts w:hint="eastAsia"/>
                <w:b/>
                <w:sz w:val="24"/>
                <w:highlight w:val="none"/>
              </w:rPr>
              <w:t>各项</w:t>
            </w:r>
            <w:r>
              <w:rPr>
                <w:b/>
                <w:sz w:val="24"/>
                <w:highlight w:val="none"/>
              </w:rPr>
              <w:t>单价中，不再另行支付。</w:t>
            </w:r>
          </w:p>
          <w:p>
            <w:pPr>
              <w:spacing w:line="300" w:lineRule="exact"/>
              <w:rPr>
                <w:rFonts w:hint="default" w:eastAsia="宋体"/>
                <w:b/>
                <w:sz w:val="24"/>
                <w:highlight w:val="none"/>
                <w:lang w:val="en-US" w:eastAsia="zh-CN"/>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014" w:type="dxa"/>
            <w:noWrap w:val="0"/>
            <w:vAlign w:val="center"/>
          </w:tcPr>
          <w:p>
            <w:pPr>
              <w:spacing w:line="340" w:lineRule="exact"/>
              <w:jc w:val="center"/>
              <w:rPr>
                <w:sz w:val="24"/>
                <w:highlight w:val="none"/>
              </w:rPr>
            </w:pPr>
            <w:r>
              <w:rPr>
                <w:rFonts w:hint="eastAsia"/>
                <w:sz w:val="24"/>
                <w:highlight w:val="none"/>
              </w:rPr>
              <w:t>25</w:t>
            </w:r>
          </w:p>
        </w:tc>
        <w:tc>
          <w:tcPr>
            <w:tcW w:w="9229" w:type="dxa"/>
            <w:noWrap w:val="0"/>
            <w:vAlign w:val="center"/>
          </w:tcPr>
          <w:p>
            <w:pPr>
              <w:spacing w:line="300" w:lineRule="exact"/>
              <w:rPr>
                <w:b/>
                <w:sz w:val="24"/>
                <w:highlight w:val="none"/>
              </w:rPr>
            </w:pPr>
            <w:r>
              <w:rPr>
                <w:b/>
                <w:sz w:val="24"/>
                <w:highlight w:val="none"/>
              </w:rPr>
              <w:t>施工材料</w:t>
            </w:r>
          </w:p>
          <w:p>
            <w:pPr>
              <w:numPr>
                <w:ilvl w:val="0"/>
                <w:numId w:val="2"/>
              </w:numPr>
              <w:spacing w:line="300" w:lineRule="exact"/>
              <w:rPr>
                <w:rFonts w:hint="eastAsia"/>
                <w:b/>
                <w:color w:val="auto"/>
                <w:sz w:val="24"/>
                <w:highlight w:val="none"/>
                <w:u w:val="none"/>
                <w:lang w:eastAsia="zh-CN"/>
              </w:rPr>
            </w:pPr>
            <w:r>
              <w:rPr>
                <w:b/>
                <w:color w:val="auto"/>
                <w:sz w:val="24"/>
                <w:highlight w:val="none"/>
                <w:u w:val="none"/>
              </w:rPr>
              <w:t>采购人提供材料：</w:t>
            </w:r>
            <w:r>
              <w:rPr>
                <w:rFonts w:hint="eastAsia"/>
                <w:b/>
                <w:color w:val="auto"/>
                <w:sz w:val="24"/>
                <w:highlight w:val="none"/>
                <w:u w:val="none"/>
                <w:lang w:val="en-US" w:eastAsia="zh-CN"/>
              </w:rPr>
              <w:t>/</w:t>
            </w:r>
          </w:p>
          <w:p>
            <w:pPr>
              <w:numPr>
                <w:ilvl w:val="0"/>
                <w:numId w:val="2"/>
              </w:numPr>
              <w:spacing w:line="300" w:lineRule="exact"/>
              <w:ind w:left="0" w:leftChars="0" w:firstLine="0" w:firstLineChars="0"/>
              <w:rPr>
                <w:rFonts w:hint="eastAsia"/>
                <w:b/>
                <w:sz w:val="24"/>
                <w:highlight w:val="none"/>
              </w:rPr>
            </w:pPr>
            <w:r>
              <w:rPr>
                <w:rFonts w:hint="eastAsia"/>
                <w:b/>
                <w:sz w:val="24"/>
                <w:highlight w:val="none"/>
              </w:rPr>
              <w:t>成交人提供材料：除采购人提供材料外，其余</w:t>
            </w:r>
            <w:r>
              <w:rPr>
                <w:rFonts w:hint="eastAsia"/>
                <w:b/>
                <w:sz w:val="24"/>
                <w:highlight w:val="none"/>
              </w:rPr>
              <w:t>为完成本项目所需的一切材料全部由成交人提供，所提供材料必须为合格的产品，采购人有权按相关试验检测规范对成交人提供材料进行检测，因材料不合格所带来的一切后果均由成交人承担。</w:t>
            </w:r>
          </w:p>
          <w:p>
            <w:pPr>
              <w:numPr>
                <w:ilvl w:val="0"/>
                <w:numId w:val="0"/>
              </w:numPr>
              <w:spacing w:line="300" w:lineRule="exact"/>
              <w:ind w:leftChars="0"/>
              <w:rPr>
                <w:rFonts w:hint="eastAsia"/>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26</w:t>
            </w:r>
          </w:p>
        </w:tc>
        <w:tc>
          <w:tcPr>
            <w:tcW w:w="9229" w:type="dxa"/>
            <w:noWrap w:val="0"/>
            <w:vAlign w:val="center"/>
          </w:tcPr>
          <w:p>
            <w:pPr>
              <w:spacing w:line="300" w:lineRule="exact"/>
              <w:rPr>
                <w:b/>
                <w:bCs/>
                <w:sz w:val="24"/>
                <w:highlight w:val="none"/>
              </w:rPr>
            </w:pPr>
            <w:r>
              <w:rPr>
                <w:b/>
                <w:bCs/>
                <w:sz w:val="24"/>
                <w:highlight w:val="none"/>
              </w:rPr>
              <w:t>采购人责任和义务</w:t>
            </w:r>
          </w:p>
          <w:p>
            <w:pPr>
              <w:spacing w:line="300" w:lineRule="exact"/>
              <w:rPr>
                <w:rFonts w:hint="eastAsia"/>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27</w:t>
            </w:r>
          </w:p>
        </w:tc>
        <w:tc>
          <w:tcPr>
            <w:tcW w:w="9229" w:type="dxa"/>
            <w:noWrap w:val="0"/>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sz w:val="24"/>
                <w:highlight w:val="none"/>
              </w:rPr>
            </w:pPr>
            <w:r>
              <w:rPr>
                <w:sz w:val="24"/>
                <w:highlight w:val="none"/>
              </w:rPr>
              <w:t>7</w:t>
            </w:r>
            <w:r>
              <w:rPr>
                <w:rFonts w:hint="eastAsia"/>
                <w:sz w:val="24"/>
                <w:highlight w:val="none"/>
              </w:rPr>
              <w:t>.</w:t>
            </w:r>
            <w:r>
              <w:rPr>
                <w:sz w:val="24"/>
                <w:highlight w:val="none"/>
              </w:rPr>
              <w:t>按采购人统一规划堆放材料、机具；妥善保管、合理使用采购人提供的机具、周转材料及其他设施。</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sz w:val="24"/>
                <w:highlight w:val="none"/>
              </w:rPr>
            </w:pPr>
            <w:r>
              <w:rPr>
                <w:sz w:val="24"/>
                <w:highlight w:val="none"/>
              </w:rPr>
              <w:t>12</w:t>
            </w:r>
            <w:r>
              <w:rPr>
                <w:rFonts w:hint="eastAsia"/>
                <w:sz w:val="24"/>
                <w:highlight w:val="none"/>
              </w:rPr>
              <w:t>.</w:t>
            </w:r>
            <w:r>
              <w:rPr>
                <w:sz w:val="24"/>
                <w:highlight w:val="none"/>
              </w:rPr>
              <w:t>负责处理施工中因自身或合同外第三方原因发生的安全事故，承担一切责任。</w:t>
            </w:r>
          </w:p>
          <w:p>
            <w:pPr>
              <w:spacing w:line="300" w:lineRule="exact"/>
              <w:rPr>
                <w:rFonts w:hint="eastAsia"/>
                <w:sz w:val="24"/>
                <w:highlight w:val="none"/>
              </w:rPr>
            </w:pPr>
            <w:r>
              <w:rPr>
                <w:rFonts w:hint="eastAsia" w:hAnsi="宋体"/>
                <w:sz w:val="24"/>
                <w:highlight w:val="none"/>
              </w:rPr>
              <w:t>1</w:t>
            </w:r>
            <w:r>
              <w:rPr>
                <w:rFonts w:hAnsi="宋体"/>
                <w:sz w:val="24"/>
                <w:highlight w:val="none"/>
              </w:rPr>
              <w:t>3</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28</w:t>
            </w:r>
          </w:p>
        </w:tc>
        <w:tc>
          <w:tcPr>
            <w:tcW w:w="9229" w:type="dxa"/>
            <w:noWrap w:val="0"/>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29</w:t>
            </w:r>
          </w:p>
        </w:tc>
        <w:tc>
          <w:tcPr>
            <w:tcW w:w="9229" w:type="dxa"/>
            <w:noWrap w:val="0"/>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人应支付逾期交工违约金。逾期交工违约金按天计算为</w:t>
            </w:r>
            <w:r>
              <w:rPr>
                <w:rFonts w:hint="eastAsia"/>
                <w:bCs/>
                <w:sz w:val="24"/>
                <w:highlight w:val="none"/>
                <w:lang w:val="en-US" w:eastAsia="zh-CN"/>
              </w:rPr>
              <w:t>2000</w:t>
            </w:r>
            <w:r>
              <w:rPr>
                <w:bCs/>
                <w:sz w:val="24"/>
                <w:highlight w:val="none"/>
              </w:rPr>
              <w:t>元/天。</w:t>
            </w:r>
            <w:r>
              <w:rPr>
                <w:rFonts w:hint="eastAsia"/>
                <w:bCs/>
                <w:sz w:val="24"/>
                <w:highlight w:val="none"/>
              </w:rPr>
              <w:t>逾期交工违约金累计金额超过签约合同价3%的，采购人有权单方解除合同，成交人不仅需支付违约金，给采购人造成损失的，还应承担赔偿责任</w:t>
            </w:r>
            <w:commentRangeStart w:id="1"/>
            <w:r>
              <w:rPr>
                <w:bCs/>
                <w:sz w:val="24"/>
                <w:highlight w:val="none"/>
              </w:rPr>
              <w:t>。</w:t>
            </w:r>
            <w:commentRangeEnd w:id="1"/>
            <w:r>
              <w:rPr>
                <w:highlight w:val="none"/>
              </w:rPr>
              <w:commentReference w:id="1"/>
            </w:r>
            <w:r>
              <w:rPr>
                <w:bCs/>
                <w:sz w:val="24"/>
                <w:highlight w:val="none"/>
              </w:rPr>
              <w:t>采购人有权从应付给</w:t>
            </w:r>
            <w:r>
              <w:rPr>
                <w:rFonts w:hint="eastAsia"/>
                <w:bCs/>
                <w:sz w:val="24"/>
                <w:highlight w:val="none"/>
              </w:rPr>
              <w:t>成交</w:t>
            </w:r>
            <w:r>
              <w:rPr>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30</w:t>
            </w:r>
          </w:p>
        </w:tc>
        <w:tc>
          <w:tcPr>
            <w:tcW w:w="9229" w:type="dxa"/>
            <w:noWrap w:val="0"/>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31</w:t>
            </w:r>
          </w:p>
        </w:tc>
        <w:tc>
          <w:tcPr>
            <w:tcW w:w="9229" w:type="dxa"/>
            <w:noWrap w:val="0"/>
            <w:vAlign w:val="center"/>
          </w:tcPr>
          <w:p>
            <w:pPr>
              <w:spacing w:line="300" w:lineRule="exact"/>
              <w:rPr>
                <w:b/>
                <w:sz w:val="24"/>
                <w:highlight w:val="none"/>
              </w:rPr>
            </w:pPr>
            <w:r>
              <w:rPr>
                <w:b/>
                <w:sz w:val="24"/>
                <w:highlight w:val="none"/>
              </w:rPr>
              <w:t>工程验收：</w:t>
            </w:r>
          </w:p>
          <w:p>
            <w:pPr>
              <w:spacing w:line="300" w:lineRule="exact"/>
              <w:rPr>
                <w:rFonts w:hint="eastAsia"/>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32</w:t>
            </w:r>
          </w:p>
        </w:tc>
        <w:tc>
          <w:tcPr>
            <w:tcW w:w="9229" w:type="dxa"/>
            <w:noWrap w:val="0"/>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33</w:t>
            </w:r>
          </w:p>
        </w:tc>
        <w:tc>
          <w:tcPr>
            <w:tcW w:w="9229" w:type="dxa"/>
            <w:noWrap w:val="0"/>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34</w:t>
            </w:r>
          </w:p>
        </w:tc>
        <w:tc>
          <w:tcPr>
            <w:tcW w:w="9229" w:type="dxa"/>
            <w:noWrap w:val="0"/>
            <w:vAlign w:val="center"/>
          </w:tcPr>
          <w:p>
            <w:pPr>
              <w:spacing w:line="300" w:lineRule="exact"/>
              <w:rPr>
                <w:b/>
                <w:sz w:val="24"/>
                <w:highlight w:val="none"/>
              </w:rPr>
            </w:pPr>
            <w:r>
              <w:rPr>
                <w:b/>
                <w:sz w:val="24"/>
                <w:highlight w:val="none"/>
              </w:rPr>
              <w:t>其它：</w:t>
            </w:r>
          </w:p>
          <w:p>
            <w:pPr>
              <w:spacing w:line="300" w:lineRule="exact"/>
              <w:rPr>
                <w:b/>
                <w:sz w:val="24"/>
                <w:highlight w:val="none"/>
              </w:rPr>
            </w:pPr>
            <w:r>
              <w:rPr>
                <w:rFonts w:hint="eastAsia" w:ascii="Times New Roman" w:hAnsi="Times New Roman" w:eastAsia="宋体" w:cs="Times New Roman"/>
                <w:b/>
                <w:sz w:val="24"/>
                <w:highlight w:val="none"/>
                <w:lang w:val="en-US" w:eastAsia="zh-CN"/>
              </w:rPr>
              <w:t>1</w:t>
            </w:r>
            <w:r>
              <w:rPr>
                <w:rFonts w:hint="eastAsia" w:ascii="Times New Roman" w:hAnsi="Times New Roman" w:eastAsia="宋体" w:cs="Times New Roman"/>
                <w:b/>
                <w:sz w:val="24"/>
                <w:highlight w:val="none"/>
              </w:rPr>
              <w:t>.成交</w:t>
            </w:r>
            <w:r>
              <w:rPr>
                <w:rFonts w:ascii="Times New Roman" w:hAnsi="Times New Roman" w:eastAsia="宋体" w:cs="Times New Roman"/>
                <w:b/>
                <w:sz w:val="24"/>
                <w:highlight w:val="none"/>
              </w:rPr>
              <w:t>人</w:t>
            </w:r>
            <w:r>
              <w:rPr>
                <w:b/>
                <w:sz w:val="24"/>
                <w:highlight w:val="none"/>
              </w:rPr>
              <w:t>无论任何理由选择</w:t>
            </w:r>
            <w:r>
              <w:rPr>
                <w:rFonts w:hint="eastAsia"/>
                <w:b/>
                <w:sz w:val="24"/>
                <w:highlight w:val="none"/>
              </w:rPr>
              <w:t>放弃成交</w:t>
            </w:r>
            <w:r>
              <w:rPr>
                <w:b/>
                <w:sz w:val="24"/>
                <w:highlight w:val="none"/>
              </w:rPr>
              <w:t>的，采购人将没收该</w:t>
            </w:r>
            <w:r>
              <w:rPr>
                <w:rFonts w:hint="eastAsia"/>
                <w:b/>
                <w:sz w:val="24"/>
                <w:highlight w:val="none"/>
              </w:rPr>
              <w:t>报价</w:t>
            </w:r>
            <w:r>
              <w:rPr>
                <w:b/>
                <w:sz w:val="24"/>
                <w:highlight w:val="none"/>
              </w:rPr>
              <w:t>人的报价保证金，</w:t>
            </w:r>
            <w:r>
              <w:rPr>
                <w:rFonts w:hAnsi="宋体"/>
                <w:b/>
                <w:sz w:val="24"/>
                <w:highlight w:val="none"/>
              </w:rPr>
              <w:t>当即列入</w:t>
            </w:r>
            <w:r>
              <w:rPr>
                <w:rFonts w:hint="eastAsia" w:hAnsi="宋体"/>
                <w:b/>
                <w:sz w:val="24"/>
                <w:highlight w:val="none"/>
              </w:rPr>
              <w:t>采购人</w:t>
            </w:r>
            <w:r>
              <w:rPr>
                <w:rFonts w:hAnsi="宋体"/>
                <w:b/>
                <w:sz w:val="24"/>
                <w:highlight w:val="none"/>
              </w:rPr>
              <w:t>施工队伍信息库黑名单，</w:t>
            </w:r>
            <w:r>
              <w:rPr>
                <w:rFonts w:hint="eastAsia"/>
                <w:b/>
                <w:sz w:val="24"/>
                <w:highlight w:val="none"/>
              </w:rPr>
              <w:t>成交</w:t>
            </w:r>
            <w:r>
              <w:rPr>
                <w:b/>
                <w:sz w:val="24"/>
                <w:highlight w:val="none"/>
              </w:rPr>
              <w:t>人</w:t>
            </w:r>
            <w:r>
              <w:rPr>
                <w:rFonts w:hint="eastAsia"/>
                <w:b/>
                <w:sz w:val="24"/>
                <w:highlight w:val="none"/>
              </w:rPr>
              <w:t>两</w:t>
            </w:r>
            <w:r>
              <w:rPr>
                <w:b/>
                <w:sz w:val="24"/>
                <w:highlight w:val="none"/>
              </w:rPr>
              <w:t>年内不得参与采购人组织的采购活动。</w:t>
            </w:r>
          </w:p>
          <w:p>
            <w:pPr>
              <w:spacing w:line="300" w:lineRule="exact"/>
              <w:rPr>
                <w:b/>
                <w:sz w:val="24"/>
                <w:highlight w:val="none"/>
              </w:rPr>
            </w:pPr>
            <w:r>
              <w:rPr>
                <w:rFonts w:hint="eastAsia"/>
                <w:b/>
                <w:sz w:val="24"/>
                <w:highlight w:val="none"/>
                <w:lang w:val="en-US" w:eastAsia="zh-CN"/>
              </w:rPr>
              <w:t>2</w:t>
            </w:r>
            <w:r>
              <w:rPr>
                <w:rFonts w:hint="eastAsia"/>
                <w:bCs/>
                <w:sz w:val="24"/>
                <w:highlight w:val="none"/>
              </w:rPr>
              <w:t>.</w:t>
            </w:r>
            <w:r>
              <w:rPr>
                <w:b/>
                <w:sz w:val="24"/>
                <w:highlight w:val="none"/>
              </w:rPr>
              <w:t>保险：成交人应按</w:t>
            </w:r>
            <w:r>
              <w:rPr>
                <w:rFonts w:hint="eastAsia"/>
                <w:b/>
                <w:sz w:val="24"/>
                <w:highlight w:val="none"/>
              </w:rPr>
              <w:t>采购文件中</w:t>
            </w:r>
            <w:r>
              <w:rPr>
                <w:b/>
                <w:sz w:val="24"/>
                <w:highlight w:val="none"/>
              </w:rPr>
              <w:t>要求</w:t>
            </w:r>
            <w:r>
              <w:rPr>
                <w:rFonts w:hint="eastAsia"/>
                <w:b/>
                <w:sz w:val="24"/>
                <w:highlight w:val="none"/>
              </w:rPr>
              <w:t>购买保险，</w:t>
            </w:r>
            <w:r>
              <w:rPr>
                <w:b/>
                <w:sz w:val="24"/>
                <w:highlight w:val="none"/>
              </w:rPr>
              <w:t>每个人保额应大于</w:t>
            </w:r>
            <w:r>
              <w:rPr>
                <w:rFonts w:hint="eastAsia"/>
                <w:b/>
                <w:sz w:val="24"/>
                <w:highlight w:val="none"/>
              </w:rPr>
              <w:t>1</w:t>
            </w:r>
            <w:r>
              <w:rPr>
                <w:b/>
                <w:sz w:val="24"/>
                <w:highlight w:val="none"/>
              </w:rPr>
              <w:t>50万元</w:t>
            </w:r>
            <w:r>
              <w:rPr>
                <w:rFonts w:hint="eastAsia"/>
                <w:b/>
                <w:sz w:val="24"/>
                <w:highlight w:val="none"/>
              </w:rPr>
              <w:t>，并</w:t>
            </w:r>
            <w:r>
              <w:rPr>
                <w:b/>
                <w:sz w:val="24"/>
                <w:highlight w:val="none"/>
              </w:rPr>
              <w:t>自行为所有作业人员办理人身意外和工伤保险，支付保险费用，每个人保额应大于</w:t>
            </w:r>
            <w:r>
              <w:rPr>
                <w:rFonts w:hint="eastAsia"/>
                <w:b/>
                <w:sz w:val="24"/>
                <w:highlight w:val="none"/>
                <w:lang w:val="en-US" w:eastAsia="zh-CN"/>
              </w:rPr>
              <w:t>1</w:t>
            </w:r>
            <w:r>
              <w:rPr>
                <w:b/>
                <w:sz w:val="24"/>
                <w:highlight w:val="none"/>
              </w:rPr>
              <w:t>50万元。</w:t>
            </w:r>
          </w:p>
          <w:p>
            <w:pPr>
              <w:spacing w:line="300" w:lineRule="exact"/>
              <w:rPr>
                <w:rFonts w:hint="eastAsia"/>
                <w:sz w:val="24"/>
                <w:highlight w:val="none"/>
              </w:rPr>
            </w:pPr>
            <w:r>
              <w:rPr>
                <w:rFonts w:hint="eastAsia"/>
                <w:sz w:val="24"/>
                <w:highlight w:val="none"/>
                <w:lang w:val="en-US" w:eastAsia="zh-CN"/>
              </w:rPr>
              <w:t>3</w:t>
            </w:r>
            <w:r>
              <w:rPr>
                <w:rFonts w:hint="eastAsia"/>
                <w:sz w:val="24"/>
                <w:highlight w:val="none"/>
              </w:rPr>
              <w:t>.本工程不得分包或转包。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.本项目施工安全布控需严格按照高速交警、交通执法等部门审批的交通管控方案实施。</w:t>
            </w:r>
          </w:p>
        </w:tc>
      </w:tr>
    </w:tbl>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hint="eastAsia" w:ascii="宋体" w:hAnsi="宋体"/>
          <w:sz w:val="32"/>
          <w:szCs w:val="32"/>
          <w:highlight w:val="none"/>
          <w:shd w:val="clear" w:color="auto" w:fill="FFFFFF"/>
        </w:rPr>
      </w:pPr>
      <w:r>
        <w:rPr>
          <w:rFonts w:ascii="宋体" w:hAnsi="宋体"/>
          <w:sz w:val="32"/>
          <w:szCs w:val="32"/>
          <w:highlight w:val="none"/>
          <w:shd w:val="clear" w:color="auto" w:fill="FFFFFF"/>
        </w:rPr>
        <w:t>评标办法前附表</w:t>
      </w:r>
      <w:bookmarkEnd w:id="0"/>
    </w:p>
    <w:tbl>
      <w:tblPr>
        <w:tblStyle w:val="15"/>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39"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w:t>
            </w:r>
            <w:r>
              <w:rPr>
                <w:rFonts w:hAnsi="宋体"/>
                <w:color w:val="FF0000"/>
                <w:szCs w:val="21"/>
                <w:highlight w:val="none"/>
              </w:rPr>
              <w:t>并采用</w:t>
            </w:r>
            <w:r>
              <w:rPr>
                <w:rFonts w:hint="eastAsia" w:hAnsi="宋体"/>
                <w:color w:val="FF0000"/>
                <w:szCs w:val="21"/>
                <w:highlight w:val="none"/>
                <w:lang w:val="en-US" w:eastAsia="zh-CN"/>
              </w:rPr>
              <w:t>综合评分法</w:t>
            </w:r>
            <w:r>
              <w:rPr>
                <w:rFonts w:hAnsi="宋体"/>
                <w:color w:val="FF0000"/>
                <w:szCs w:val="21"/>
                <w:highlight w:val="none"/>
              </w:rPr>
              <w:t>的方法</w:t>
            </w:r>
            <w:r>
              <w:rPr>
                <w:rFonts w:hint="eastAsia" w:hAnsi="宋体"/>
                <w:color w:val="FF0000"/>
                <w:szCs w:val="21"/>
                <w:highlight w:val="none"/>
              </w:rPr>
              <w:t xml:space="preserve">评审 </w:t>
            </w:r>
            <w:r>
              <w:rPr>
                <w:rFonts w:hAnsi="宋体"/>
                <w:color w:val="FF0000"/>
                <w:szCs w:val="21"/>
                <w:highlight w:val="none"/>
              </w:rPr>
              <w:t>，</w:t>
            </w:r>
            <w:r>
              <w:rPr>
                <w:rFonts w:hint="eastAsia" w:hAnsi="宋体"/>
                <w:color w:val="FF0000"/>
                <w:szCs w:val="21"/>
                <w:highlight w:val="none"/>
              </w:rPr>
              <w:t>评审</w:t>
            </w:r>
            <w:r>
              <w:rPr>
                <w:rFonts w:hAnsi="宋体"/>
                <w:color w:val="FF0000"/>
                <w:szCs w:val="21"/>
                <w:highlight w:val="none"/>
              </w:rPr>
              <w:t>委员对满足</w:t>
            </w:r>
            <w:r>
              <w:rPr>
                <w:rFonts w:hint="eastAsia" w:hAnsi="宋体"/>
                <w:color w:val="FF0000"/>
                <w:szCs w:val="21"/>
                <w:highlight w:val="none"/>
              </w:rPr>
              <w:t>采购文件</w:t>
            </w:r>
            <w:r>
              <w:rPr>
                <w:rFonts w:hAnsi="宋体"/>
                <w:color w:val="FF0000"/>
                <w:szCs w:val="21"/>
                <w:highlight w:val="none"/>
              </w:rPr>
              <w:t>实质性要求的</w:t>
            </w:r>
            <w:r>
              <w:rPr>
                <w:rFonts w:hint="eastAsia" w:hAnsi="宋体"/>
                <w:color w:val="FF0000"/>
                <w:szCs w:val="21"/>
                <w:highlight w:val="none"/>
                <w:lang w:val="en-US" w:eastAsia="zh-CN"/>
              </w:rPr>
              <w:t>投标</w:t>
            </w:r>
            <w:r>
              <w:rPr>
                <w:rFonts w:hAnsi="宋体"/>
                <w:color w:val="FF0000"/>
                <w:szCs w:val="21"/>
                <w:highlight w:val="none"/>
              </w:rPr>
              <w:t>文件</w:t>
            </w:r>
            <w:r>
              <w:rPr>
                <w:rFonts w:hAnsi="宋体"/>
                <w:szCs w:val="21"/>
                <w:highlight w:val="none"/>
              </w:rPr>
              <w:t>，按照本规定的评分标准进行打分，并按得分由高到低顺序推荐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noWrap w:val="0"/>
            <w:vAlign w:val="center"/>
          </w:tcPr>
          <w:p>
            <w:pPr>
              <w:snapToGrid w:val="0"/>
              <w:ind w:left="113" w:leftChars="0" w:right="113" w:rightChars="0"/>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400" w:lineRule="exact"/>
              <w:rPr>
                <w:szCs w:val="21"/>
                <w:highlight w:val="none"/>
              </w:rPr>
            </w:pPr>
            <w:r>
              <w:rPr>
                <w:rFonts w:hAnsi="宋体"/>
                <w:szCs w:val="21"/>
                <w:highlight w:val="none"/>
              </w:rPr>
              <w:t>（</w:t>
            </w:r>
            <w:r>
              <w:rPr>
                <w:szCs w:val="21"/>
                <w:highlight w:val="none"/>
              </w:rPr>
              <w:t>1</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Ansi="宋体"/>
                <w:szCs w:val="21"/>
                <w:highlight w:val="none"/>
              </w:rPr>
              <w:t>采购函按采购文件规定填报了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Ansi="宋体"/>
                <w:szCs w:val="21"/>
                <w:highlight w:val="none"/>
              </w:rPr>
              <w:t>采购函附表的所有数据均符合采购文件规定；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报价文件组成齐全完整，内容均按规定填写；</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szCs w:val="21"/>
                <w:highlight w:val="none"/>
              </w:rPr>
              <w:t>2</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szCs w:val="21"/>
                <w:highlight w:val="none"/>
              </w:rPr>
              <w:t>3</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szCs w:val="21"/>
                <w:highlight w:val="none"/>
              </w:rPr>
              <w:t>4</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szCs w:val="21"/>
                <w:highlight w:val="none"/>
              </w:rPr>
            </w:pPr>
            <w:r>
              <w:rPr>
                <w:rFonts w:hAnsi="宋体"/>
                <w:szCs w:val="21"/>
                <w:highlight w:val="none"/>
              </w:rPr>
              <w:t>（</w:t>
            </w:r>
            <w:r>
              <w:rPr>
                <w:szCs w:val="21"/>
                <w:highlight w:val="none"/>
              </w:rPr>
              <w:t>5</w:t>
            </w:r>
            <w:r>
              <w:rPr>
                <w:rFonts w:hAnsi="宋体"/>
                <w:szCs w:val="21"/>
                <w:highlight w:val="none"/>
              </w:rPr>
              <w:t>）报价人法定代表人若亲自签署报价文件的，提供了法定代表人身份证明，法定代表人在法定代表人身份证明上签名。</w:t>
            </w:r>
          </w:p>
          <w:p>
            <w:pPr>
              <w:spacing w:line="400" w:lineRule="exact"/>
              <w:rPr>
                <w:szCs w:val="21"/>
                <w:highlight w:val="none"/>
              </w:rPr>
            </w:pPr>
            <w:r>
              <w:rPr>
                <w:rFonts w:hAnsi="宋体"/>
                <w:szCs w:val="21"/>
                <w:highlight w:val="none"/>
              </w:rPr>
              <w:t>（</w:t>
            </w:r>
            <w:r>
              <w:rPr>
                <w:szCs w:val="21"/>
                <w:highlight w:val="none"/>
              </w:rPr>
              <w:t>6</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szCs w:val="21"/>
                <w:highlight w:val="none"/>
              </w:rPr>
              <w:t>7</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szCs w:val="21"/>
                <w:highlight w:val="none"/>
              </w:rPr>
              <w:t>8</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lang w:val="en-US" w:eastAsia="zh-CN"/>
              </w:rPr>
              <w:t>9</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szCs w:val="21"/>
                <w:highlight w:val="none"/>
              </w:rPr>
            </w:pPr>
            <w:r>
              <w:rPr>
                <w:szCs w:val="21"/>
                <w:highlight w:val="none"/>
              </w:rPr>
              <w:t>d.</w:t>
            </w:r>
            <w:r>
              <w:rPr>
                <w:rFonts w:hAnsi="宋体"/>
                <w:szCs w:val="21"/>
                <w:highlight w:val="none"/>
              </w:rPr>
              <w:t>报价人在报价活动中无欺诈行为；</w:t>
            </w:r>
          </w:p>
          <w:p>
            <w:pPr>
              <w:spacing w:line="240" w:lineRule="exact"/>
              <w:ind w:firstLine="210" w:firstLineChars="100"/>
              <w:jc w:val="left"/>
              <w:rPr>
                <w:rFonts w:hint="eastAsia"/>
                <w:szCs w:val="21"/>
                <w:highlight w:val="none"/>
                <w:shd w:val="clear" w:color="auto" w:fill="FFFFFF"/>
              </w:rPr>
            </w:pPr>
            <w:r>
              <w:rPr>
                <w:szCs w:val="21"/>
                <w:highlight w:val="none"/>
              </w:rPr>
              <w:t>e.</w:t>
            </w:r>
            <w:r>
              <w:rPr>
                <w:rFonts w:hAnsi="宋体"/>
                <w:szCs w:val="21"/>
                <w:highlight w:val="none"/>
              </w:rPr>
              <w:t>报价人未对合同条款有重要保留。</w:t>
            </w:r>
            <w:r>
              <w:rPr>
                <w:szCs w:val="21"/>
                <w:highlight w:val="none"/>
                <w:shd w:val="clear" w:color="auto" w:fill="FFFFFF"/>
              </w:rPr>
              <w:t>b.</w:t>
            </w:r>
            <w:r>
              <w:rPr>
                <w:rFonts w:hint="eastAsia"/>
                <w:szCs w:val="21"/>
                <w:highlight w:val="none"/>
                <w:shd w:val="clear" w:color="auto" w:fill="FFFFFF"/>
              </w:rPr>
              <w:t>报价</w:t>
            </w:r>
            <w:r>
              <w:rPr>
                <w:szCs w:val="21"/>
                <w:highlight w:val="none"/>
                <w:shd w:val="clear" w:color="auto" w:fill="FFFFFF"/>
              </w:rPr>
              <w:t>文件组成不完整、内容未按规定填写；</w:t>
            </w:r>
          </w:p>
        </w:tc>
      </w:tr>
    </w:tbl>
    <w:p>
      <w:pPr>
        <w:adjustRightInd w:val="0"/>
        <w:snapToGrid w:val="0"/>
        <w:spacing w:line="460" w:lineRule="atLeast"/>
        <w:rPr>
          <w:rFonts w:hint="eastAsia" w:ascii="宋体" w:hAnsi="宋体"/>
          <w:b/>
          <w:color w:val="FF0000"/>
          <w:szCs w:val="21"/>
          <w:highlight w:val="none"/>
        </w:rPr>
      </w:pPr>
      <w:r>
        <w:rPr>
          <w:rFonts w:hint="eastAsia" w:ascii="宋体" w:hAnsi="宋体"/>
          <w:b/>
          <w:color w:val="FF0000"/>
          <w:szCs w:val="21"/>
          <w:highlight w:val="none"/>
        </w:rPr>
        <w:t>本项目采用综合评分法进行评议，各部分评分分值分布如下：</w:t>
      </w:r>
    </w:p>
    <w:p>
      <w:pPr>
        <w:adjustRightInd w:val="0"/>
        <w:snapToGrid w:val="0"/>
        <w:spacing w:line="460" w:lineRule="atLeast"/>
        <w:rPr>
          <w:rFonts w:hint="eastAsia" w:ascii="宋体" w:hAnsi="宋体"/>
          <w:color w:val="FF0000"/>
          <w:szCs w:val="21"/>
          <w:highlight w:val="none"/>
        </w:rPr>
      </w:pPr>
      <w:r>
        <w:rPr>
          <w:rFonts w:hint="eastAsia" w:ascii="宋体" w:hAnsi="宋体"/>
          <w:color w:val="FF0000"/>
          <w:szCs w:val="21"/>
          <w:highlight w:val="none"/>
        </w:rPr>
        <w:t>A：技术部分评分               满分</w:t>
      </w:r>
      <w:r>
        <w:rPr>
          <w:rFonts w:hint="eastAsia" w:ascii="宋体" w:hAnsi="宋体"/>
          <w:color w:val="FF0000"/>
          <w:szCs w:val="21"/>
          <w:highlight w:val="none"/>
          <w:lang w:val="en-US" w:eastAsia="zh-CN"/>
        </w:rPr>
        <w:t>30</w:t>
      </w:r>
      <w:r>
        <w:rPr>
          <w:rFonts w:hint="eastAsia" w:ascii="宋体" w:hAnsi="宋体"/>
          <w:color w:val="FF0000"/>
          <w:szCs w:val="21"/>
          <w:highlight w:val="none"/>
        </w:rPr>
        <w:t>分</w:t>
      </w:r>
    </w:p>
    <w:p>
      <w:pPr>
        <w:adjustRightInd w:val="0"/>
        <w:snapToGrid w:val="0"/>
        <w:spacing w:line="460" w:lineRule="atLeast"/>
        <w:rPr>
          <w:rFonts w:hint="eastAsia" w:ascii="宋体" w:hAnsi="宋体"/>
          <w:color w:val="FF0000"/>
          <w:szCs w:val="21"/>
          <w:highlight w:val="none"/>
        </w:rPr>
      </w:pPr>
      <w:r>
        <w:rPr>
          <w:rFonts w:hint="eastAsia" w:ascii="宋体" w:hAnsi="宋体"/>
          <w:color w:val="FF0000"/>
          <w:szCs w:val="21"/>
          <w:highlight w:val="none"/>
        </w:rPr>
        <w:t>B：商务部分评分</w:t>
      </w:r>
      <w:r>
        <w:rPr>
          <w:rFonts w:ascii="宋体" w:hAnsi="宋体"/>
          <w:color w:val="FF0000"/>
          <w:szCs w:val="21"/>
          <w:highlight w:val="none"/>
        </w:rPr>
        <w:t xml:space="preserve">         </w:t>
      </w:r>
      <w:r>
        <w:rPr>
          <w:rFonts w:hint="eastAsia" w:ascii="宋体" w:hAnsi="宋体"/>
          <w:color w:val="FF0000"/>
          <w:szCs w:val="21"/>
          <w:highlight w:val="none"/>
        </w:rPr>
        <w:t xml:space="preserve">    </w:t>
      </w:r>
      <w:r>
        <w:rPr>
          <w:rFonts w:ascii="宋体" w:hAnsi="宋体"/>
          <w:color w:val="FF0000"/>
          <w:szCs w:val="21"/>
          <w:highlight w:val="none"/>
        </w:rPr>
        <w:t xml:space="preserve">  </w:t>
      </w:r>
      <w:r>
        <w:rPr>
          <w:rFonts w:hint="eastAsia" w:ascii="宋体" w:hAnsi="宋体"/>
          <w:color w:val="FF0000"/>
          <w:szCs w:val="21"/>
          <w:highlight w:val="none"/>
        </w:rPr>
        <w:t>满分</w:t>
      </w:r>
      <w:r>
        <w:rPr>
          <w:rFonts w:hint="eastAsia" w:ascii="宋体" w:hAnsi="宋体"/>
          <w:color w:val="FF0000"/>
          <w:szCs w:val="21"/>
          <w:highlight w:val="none"/>
          <w:lang w:val="en-US" w:eastAsia="zh-CN"/>
        </w:rPr>
        <w:t>10</w:t>
      </w:r>
      <w:r>
        <w:rPr>
          <w:rFonts w:hint="eastAsia" w:ascii="宋体" w:hAnsi="宋体"/>
          <w:color w:val="FF0000"/>
          <w:szCs w:val="21"/>
          <w:highlight w:val="none"/>
        </w:rPr>
        <w:t>分</w:t>
      </w:r>
    </w:p>
    <w:p>
      <w:pPr>
        <w:adjustRightInd w:val="0"/>
        <w:snapToGrid w:val="0"/>
        <w:spacing w:line="460" w:lineRule="atLeast"/>
        <w:rPr>
          <w:rFonts w:hint="eastAsia" w:ascii="宋体" w:hAnsi="宋体"/>
          <w:color w:val="FF0000"/>
          <w:szCs w:val="21"/>
          <w:highlight w:val="none"/>
        </w:rPr>
      </w:pPr>
      <w:r>
        <w:rPr>
          <w:rFonts w:hint="eastAsia" w:ascii="宋体" w:hAnsi="宋体"/>
          <w:color w:val="FF0000"/>
          <w:szCs w:val="21"/>
          <w:highlight w:val="none"/>
        </w:rPr>
        <w:t>C：报价部分评分</w:t>
      </w:r>
      <w:r>
        <w:rPr>
          <w:rFonts w:ascii="宋体" w:hAnsi="宋体"/>
          <w:color w:val="FF0000"/>
          <w:szCs w:val="21"/>
          <w:highlight w:val="none"/>
        </w:rPr>
        <w:t xml:space="preserve">           </w:t>
      </w:r>
      <w:r>
        <w:rPr>
          <w:rFonts w:hint="eastAsia" w:ascii="宋体" w:hAnsi="宋体"/>
          <w:color w:val="FF0000"/>
          <w:szCs w:val="21"/>
          <w:highlight w:val="none"/>
        </w:rPr>
        <w:t xml:space="preserve">    满</w:t>
      </w:r>
      <w:r>
        <w:rPr>
          <w:rFonts w:hint="eastAsia" w:ascii="宋体" w:hAnsi="宋体"/>
          <w:color w:val="FF0000"/>
          <w:szCs w:val="21"/>
          <w:highlight w:val="none"/>
          <w:lang w:val="en-US" w:eastAsia="zh-CN"/>
        </w:rPr>
        <w:t>60</w:t>
      </w:r>
      <w:r>
        <w:rPr>
          <w:rFonts w:hint="eastAsia" w:ascii="宋体" w:hAnsi="宋体"/>
          <w:color w:val="FF0000"/>
          <w:szCs w:val="21"/>
          <w:highlight w:val="none"/>
        </w:rPr>
        <w:t>分</w:t>
      </w:r>
    </w:p>
    <w:p>
      <w:pPr>
        <w:spacing w:line="440" w:lineRule="exact"/>
        <w:rPr>
          <w:rFonts w:hint="eastAsia" w:ascii="Arial" w:hAnsi="Arial"/>
          <w:color w:val="FF0000"/>
          <w:szCs w:val="21"/>
          <w:highlight w:val="none"/>
        </w:rPr>
      </w:pPr>
      <w:r>
        <w:rPr>
          <w:rFonts w:hint="eastAsia" w:ascii="宋体" w:hAnsi="宋体"/>
          <w:color w:val="FF0000"/>
          <w:szCs w:val="21"/>
          <w:highlight w:val="none"/>
        </w:rPr>
        <w:t>综合得分为：A+B+C</w:t>
      </w:r>
    </w:p>
    <w:tbl>
      <w:tblPr>
        <w:tblStyle w:val="15"/>
        <w:tblW w:w="94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58"/>
        <w:gridCol w:w="1062"/>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序号</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评标项目</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评标权重</w:t>
            </w:r>
          </w:p>
        </w:tc>
        <w:tc>
          <w:tcPr>
            <w:tcW w:w="62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471"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color w:val="FF0000"/>
                <w:szCs w:val="21"/>
                <w:highlight w:val="none"/>
              </w:rPr>
            </w:pPr>
            <w:r>
              <w:rPr>
                <w:rFonts w:hint="eastAsia" w:ascii="宋体" w:hAnsi="宋体"/>
                <w:b/>
                <w:color w:val="FF0000"/>
                <w:spacing w:val="-2"/>
                <w:szCs w:val="21"/>
                <w:highlight w:val="none"/>
                <w:shd w:val="pct10" w:color="auto" w:fill="FFFFFF"/>
              </w:rPr>
              <w:t>第一阶段技术商务部分的评标：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color w:val="FF0000"/>
                <w:szCs w:val="21"/>
                <w:highlight w:val="none"/>
              </w:rPr>
            </w:pPr>
            <w:r>
              <w:rPr>
                <w:rFonts w:hint="eastAsia" w:ascii="宋体" w:hAnsi="宋体"/>
                <w:color w:val="FF0000"/>
                <w:szCs w:val="21"/>
                <w:highlight w:val="none"/>
              </w:rPr>
              <w:t>一</w:t>
            </w:r>
          </w:p>
        </w:tc>
        <w:tc>
          <w:tcPr>
            <w:tcW w:w="875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b/>
                <w:color w:val="FF0000"/>
                <w:szCs w:val="21"/>
                <w:highlight w:val="none"/>
              </w:rPr>
            </w:pPr>
            <w:r>
              <w:rPr>
                <w:rFonts w:hint="eastAsia" w:ascii="宋体" w:hAnsi="宋体"/>
                <w:b/>
                <w:color w:val="FF0000"/>
                <w:szCs w:val="21"/>
                <w:highlight w:val="none"/>
              </w:rPr>
              <w:t>技术部分评分（A满分</w:t>
            </w:r>
            <w:r>
              <w:rPr>
                <w:rFonts w:hint="eastAsia" w:ascii="宋体" w:hAnsi="宋体"/>
                <w:b/>
                <w:color w:val="FF0000"/>
                <w:szCs w:val="21"/>
                <w:highlight w:val="none"/>
                <w:lang w:val="en-US" w:eastAsia="zh-CN"/>
              </w:rPr>
              <w:t>3</w:t>
            </w:r>
            <w:r>
              <w:rPr>
                <w:rFonts w:hint="eastAsia" w:ascii="宋体" w:hAnsi="宋体"/>
                <w:b/>
                <w:color w:val="FF0000"/>
                <w:szCs w:val="21"/>
                <w:highlight w:val="none"/>
              </w:rPr>
              <w:t>0分）</w:t>
            </w:r>
          </w:p>
          <w:p>
            <w:pPr>
              <w:spacing w:line="480" w:lineRule="exact"/>
              <w:rPr>
                <w:rFonts w:hint="eastAsia" w:ascii="宋体" w:hAnsi="宋体"/>
                <w:b/>
                <w:color w:val="FF0000"/>
                <w:szCs w:val="21"/>
                <w:highlight w:val="none"/>
              </w:rPr>
            </w:pPr>
            <w:r>
              <w:rPr>
                <w:rFonts w:hint="eastAsia" w:ascii="宋体" w:hAnsi="宋体"/>
                <w:b/>
                <w:color w:val="FF0000"/>
                <w:szCs w:val="21"/>
                <w:highlight w:val="none"/>
                <w:shd w:val="pct10" w:color="auto" w:fill="FFFFFF"/>
              </w:rPr>
              <w:t>注：按照闽财购〔2010〕28号文件规定，若投标人的技术部分（A项）实际得分少于招标文件设定的技术部分总分50%（即</w:t>
            </w:r>
            <w:r>
              <w:rPr>
                <w:rFonts w:hint="eastAsia" w:ascii="宋体" w:hAnsi="宋体"/>
                <w:b/>
                <w:color w:val="FF0000"/>
                <w:szCs w:val="21"/>
                <w:highlight w:val="none"/>
                <w:shd w:val="pct10" w:color="auto" w:fill="FFFFFF"/>
                <w:lang w:val="en-US" w:eastAsia="zh-CN"/>
              </w:rPr>
              <w:t>15</w:t>
            </w:r>
            <w:r>
              <w:rPr>
                <w:rFonts w:hint="eastAsia" w:ascii="宋体" w:hAnsi="宋体"/>
                <w:b/>
                <w:color w:val="FF0000"/>
                <w:szCs w:val="21"/>
                <w:highlight w:val="none"/>
                <w:shd w:val="pct10" w:color="auto" w:fill="FFFFFF"/>
              </w:rPr>
              <w:t>分），即视为技术部分未实质性响应招标文件要求，不推荐为中标人。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A1</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bCs/>
                <w:color w:val="FF0000"/>
                <w:szCs w:val="21"/>
                <w:highlight w:val="none"/>
              </w:rPr>
              <w:t>整体设计方案</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10</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top"/>
          </w:tcPr>
          <w:p>
            <w:pPr>
              <w:tabs>
                <w:tab w:val="center" w:pos="4513"/>
              </w:tabs>
              <w:spacing w:line="480" w:lineRule="exact"/>
              <w:rPr>
                <w:rFonts w:hint="eastAsia" w:ascii="宋体" w:hAnsi="宋体"/>
                <w:color w:val="FF0000"/>
                <w:szCs w:val="21"/>
                <w:highlight w:val="none"/>
              </w:rPr>
            </w:pPr>
            <w:r>
              <w:rPr>
                <w:rFonts w:hint="eastAsia" w:ascii="宋体" w:hAnsi="宋体"/>
                <w:color w:val="FF0000"/>
                <w:szCs w:val="21"/>
                <w:highlight w:val="none"/>
              </w:rPr>
              <w:t>提供雕塑及周边景观完整的设计及施工方案，由评委横向评比在0-</w:t>
            </w:r>
            <w:r>
              <w:rPr>
                <w:rFonts w:hint="eastAsia" w:ascii="宋体" w:hAnsi="宋体"/>
                <w:color w:val="FF0000"/>
                <w:szCs w:val="21"/>
                <w:highlight w:val="none"/>
                <w:lang w:val="en-US" w:eastAsia="zh-CN"/>
              </w:rPr>
              <w:t>1</w:t>
            </w:r>
            <w:r>
              <w:rPr>
                <w:rFonts w:hint="eastAsia" w:ascii="宋体" w:hAnsi="宋体"/>
                <w:color w:val="FF0000"/>
                <w:szCs w:val="21"/>
                <w:highlight w:val="none"/>
              </w:rPr>
              <w:t>0分间打分。</w:t>
            </w:r>
            <w:r>
              <w:rPr>
                <w:rFonts w:ascii="宋体" w:hAnsi="宋体"/>
                <w:color w:val="FF0000"/>
                <w:szCs w:val="21"/>
                <w:highlight w:val="none"/>
              </w:rPr>
              <w:t>（</w:t>
            </w:r>
            <w:r>
              <w:rPr>
                <w:rFonts w:ascii="宋体" w:hAnsi="宋体" w:cs="宋体"/>
                <w:color w:val="FF0000"/>
                <w:szCs w:val="21"/>
                <w:highlight w:val="none"/>
              </w:rPr>
              <w:t>满分</w:t>
            </w:r>
            <w:r>
              <w:rPr>
                <w:rFonts w:hint="eastAsia" w:ascii="宋体" w:hAnsi="宋体" w:cs="宋体"/>
                <w:color w:val="FF0000"/>
                <w:szCs w:val="21"/>
                <w:highlight w:val="none"/>
                <w:lang w:val="en-US" w:eastAsia="zh-CN"/>
              </w:rPr>
              <w:t>1</w:t>
            </w:r>
            <w:r>
              <w:rPr>
                <w:rFonts w:hint="eastAsia" w:ascii="宋体" w:hAnsi="宋体"/>
                <w:color w:val="FF0000"/>
                <w:szCs w:val="21"/>
                <w:highlight w:val="none"/>
              </w:rPr>
              <w:t>0</w:t>
            </w:r>
            <w:r>
              <w:rPr>
                <w:rFonts w:ascii="宋体" w:hAnsi="宋体"/>
                <w:color w:val="FF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A2</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bCs/>
                <w:color w:val="FF0000"/>
                <w:szCs w:val="21"/>
                <w:highlight w:val="none"/>
              </w:rPr>
              <w:t>设计方案</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15</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top"/>
          </w:tcPr>
          <w:p>
            <w:pPr>
              <w:tabs>
                <w:tab w:val="center" w:pos="4513"/>
              </w:tabs>
              <w:spacing w:line="480" w:lineRule="exact"/>
              <w:rPr>
                <w:rFonts w:hint="eastAsia" w:ascii="宋体" w:hAnsi="宋体"/>
                <w:color w:val="FF0000"/>
                <w:szCs w:val="21"/>
                <w:highlight w:val="none"/>
              </w:rPr>
            </w:pPr>
            <w:r>
              <w:rPr>
                <w:rFonts w:hint="eastAsia" w:ascii="宋体" w:hAnsi="宋体"/>
                <w:color w:val="FF0000"/>
                <w:szCs w:val="21"/>
                <w:highlight w:val="none"/>
              </w:rPr>
              <w:t>投标人提供的设计方案造型理念先进，材料使用具有大众审美和象征意义，雕塑方案</w:t>
            </w:r>
            <w:r>
              <w:rPr>
                <w:rFonts w:hint="eastAsia" w:ascii="宋体" w:hAnsi="宋体"/>
                <w:color w:val="FF0000"/>
                <w:szCs w:val="21"/>
                <w:highlight w:val="none"/>
                <w:lang w:val="en-US" w:eastAsia="zh-CN"/>
              </w:rPr>
              <w:t>造型美观，</w:t>
            </w:r>
            <w:r>
              <w:rPr>
                <w:rFonts w:hint="eastAsia" w:ascii="宋体" w:hAnsi="宋体"/>
                <w:color w:val="FF0000"/>
                <w:szCs w:val="21"/>
                <w:highlight w:val="none"/>
              </w:rPr>
              <w:t>表现与环境相呼应，</w:t>
            </w:r>
            <w:r>
              <w:rPr>
                <w:rFonts w:hint="eastAsia" w:ascii="宋体" w:hAnsi="宋体"/>
                <w:color w:val="FF0000"/>
                <w:szCs w:val="21"/>
                <w:highlight w:val="none"/>
                <w:lang w:val="en-US" w:eastAsia="zh-CN"/>
              </w:rPr>
              <w:t>设计注重环境安全</w:t>
            </w:r>
            <w:r>
              <w:rPr>
                <w:rFonts w:hint="eastAsia" w:ascii="宋体" w:hAnsi="宋体"/>
                <w:color w:val="FF0000"/>
                <w:szCs w:val="21"/>
                <w:highlight w:val="none"/>
              </w:rPr>
              <w:t>，由评委横向评比在0-</w:t>
            </w:r>
            <w:r>
              <w:rPr>
                <w:rFonts w:hint="eastAsia" w:ascii="宋体" w:hAnsi="宋体"/>
                <w:color w:val="FF0000"/>
                <w:szCs w:val="21"/>
                <w:highlight w:val="none"/>
                <w:lang w:val="en-US" w:eastAsia="zh-CN"/>
              </w:rPr>
              <w:t>15</w:t>
            </w:r>
            <w:r>
              <w:rPr>
                <w:rFonts w:hint="eastAsia" w:ascii="宋体" w:hAnsi="宋体"/>
                <w:color w:val="FF0000"/>
                <w:szCs w:val="21"/>
                <w:highlight w:val="none"/>
              </w:rPr>
              <w:t>分间打分</w:t>
            </w:r>
            <w:r>
              <w:rPr>
                <w:rFonts w:ascii="宋体" w:hAnsi="宋体"/>
                <w:color w:val="FF0000"/>
                <w:szCs w:val="21"/>
                <w:highlight w:val="none"/>
              </w:rPr>
              <w:t>（</w:t>
            </w:r>
            <w:r>
              <w:rPr>
                <w:rFonts w:ascii="宋体" w:hAnsi="宋体" w:cs="宋体"/>
                <w:color w:val="FF0000"/>
                <w:szCs w:val="21"/>
                <w:highlight w:val="none"/>
              </w:rPr>
              <w:t>满分</w:t>
            </w:r>
            <w:r>
              <w:rPr>
                <w:rFonts w:hint="eastAsia" w:ascii="宋体" w:hAnsi="宋体" w:cs="宋体"/>
                <w:color w:val="FF0000"/>
                <w:szCs w:val="21"/>
                <w:highlight w:val="none"/>
                <w:lang w:val="en-US" w:eastAsia="zh-CN"/>
              </w:rPr>
              <w:t>15</w:t>
            </w:r>
            <w:r>
              <w:rPr>
                <w:rFonts w:ascii="宋体" w:hAnsi="宋体"/>
                <w:color w:val="FF0000"/>
                <w:szCs w:val="21"/>
                <w:highlight w:val="none"/>
              </w:rPr>
              <w:t>分）</w:t>
            </w:r>
          </w:p>
          <w:p>
            <w:pPr>
              <w:tabs>
                <w:tab w:val="center" w:pos="4513"/>
              </w:tabs>
              <w:spacing w:line="480" w:lineRule="exact"/>
              <w:rPr>
                <w:rFonts w:hint="eastAsia" w:ascii="宋体" w:hAnsi="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A3</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bCs/>
                <w:color w:val="FF0000"/>
                <w:szCs w:val="21"/>
                <w:highlight w:val="none"/>
              </w:rPr>
              <w:t>投标货物技术响应情况</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5</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top"/>
          </w:tcPr>
          <w:p>
            <w:pPr>
              <w:tabs>
                <w:tab w:val="center" w:pos="4513"/>
              </w:tabs>
              <w:spacing w:line="480" w:lineRule="exact"/>
              <w:rPr>
                <w:rFonts w:hint="eastAsia" w:ascii="宋体" w:hAnsi="宋体"/>
                <w:color w:val="FF0000"/>
                <w:szCs w:val="21"/>
                <w:highlight w:val="none"/>
              </w:rPr>
            </w:pPr>
            <w:r>
              <w:rPr>
                <w:rFonts w:ascii="宋体" w:hAnsi="宋体"/>
                <w:color w:val="FF0000"/>
                <w:szCs w:val="21"/>
                <w:highlight w:val="none"/>
              </w:rPr>
              <w:t>根据各投标人所投产品的技术指标的逐项响应、承诺等方面情况由评委进行评议打分，投标人所投货物的技术指标完全满足招标文件要求的得</w:t>
            </w:r>
            <w:r>
              <w:rPr>
                <w:rFonts w:hint="eastAsia" w:ascii="宋体" w:hAnsi="宋体"/>
                <w:color w:val="FF0000"/>
                <w:szCs w:val="21"/>
                <w:highlight w:val="none"/>
                <w:lang w:val="en-US" w:eastAsia="zh-CN"/>
              </w:rPr>
              <w:t>5</w:t>
            </w:r>
            <w:r>
              <w:rPr>
                <w:rFonts w:ascii="宋体" w:hAnsi="宋体"/>
                <w:color w:val="FF0000"/>
                <w:szCs w:val="21"/>
                <w:highlight w:val="none"/>
              </w:rPr>
              <w:t>分，技术指标每负偏离一项扣</w:t>
            </w:r>
            <w:r>
              <w:rPr>
                <w:rFonts w:hint="eastAsia" w:ascii="宋体" w:hAnsi="宋体"/>
                <w:color w:val="FF0000"/>
                <w:szCs w:val="21"/>
                <w:highlight w:val="none"/>
              </w:rPr>
              <w:t>2</w:t>
            </w:r>
            <w:r>
              <w:rPr>
                <w:rFonts w:ascii="宋体" w:hAnsi="宋体"/>
                <w:color w:val="FF0000"/>
                <w:szCs w:val="21"/>
                <w:highlight w:val="none"/>
              </w:rPr>
              <w:t>分。</w:t>
            </w:r>
            <w:r>
              <w:rPr>
                <w:rFonts w:hint="eastAsia" w:ascii="宋体" w:hAnsi="宋体"/>
                <w:color w:val="FF0000"/>
                <w:szCs w:val="21"/>
                <w:highlight w:val="none"/>
              </w:rPr>
              <w:t>标注</w:t>
            </w:r>
            <w:r>
              <w:rPr>
                <w:rFonts w:hint="eastAsia" w:ascii="宋体" w:hAnsi="宋体" w:cs="宋体"/>
                <w:color w:val="FF0000"/>
                <w:kern w:val="0"/>
                <w:szCs w:val="21"/>
                <w:highlight w:val="none"/>
              </w:rPr>
              <w:t>“★”号为关键性技术指标，每负偏离一项</w:t>
            </w:r>
            <w:r>
              <w:rPr>
                <w:rFonts w:ascii="宋体" w:hAnsi="宋体"/>
                <w:color w:val="FF0000"/>
                <w:szCs w:val="21"/>
                <w:highlight w:val="none"/>
              </w:rPr>
              <w:t>扣</w:t>
            </w:r>
            <w:r>
              <w:rPr>
                <w:rFonts w:hint="eastAsia" w:ascii="宋体" w:hAnsi="宋体"/>
                <w:color w:val="FF0000"/>
                <w:szCs w:val="21"/>
                <w:highlight w:val="none"/>
              </w:rPr>
              <w:t>3</w:t>
            </w:r>
            <w:r>
              <w:rPr>
                <w:rFonts w:ascii="宋体" w:hAnsi="宋体"/>
                <w:color w:val="FF0000"/>
                <w:szCs w:val="21"/>
                <w:highlight w:val="none"/>
              </w:rPr>
              <w:t>分（满分</w:t>
            </w:r>
            <w:r>
              <w:rPr>
                <w:rFonts w:hint="eastAsia" w:ascii="宋体" w:hAnsi="宋体"/>
                <w:color w:val="FF0000"/>
                <w:szCs w:val="21"/>
                <w:highlight w:val="none"/>
                <w:lang w:val="en-US" w:eastAsia="zh-CN"/>
              </w:rPr>
              <w:t>5分</w:t>
            </w:r>
            <w:r>
              <w:rPr>
                <w:rFonts w:ascii="宋体" w:hAnsi="宋体"/>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71"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hint="eastAsia" w:ascii="宋体" w:hAnsi="宋体"/>
                <w:color w:val="FF0000"/>
                <w:szCs w:val="21"/>
                <w:highlight w:val="none"/>
              </w:rPr>
            </w:pPr>
            <w:r>
              <w:rPr>
                <w:rFonts w:hint="eastAsia" w:ascii="宋体" w:hAnsi="宋体"/>
                <w:color w:val="FF0000"/>
                <w:szCs w:val="21"/>
                <w:highlight w:val="none"/>
              </w:rPr>
              <w:t>各投标人的技术部分得分A=A1+A2+A3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二</w:t>
            </w:r>
          </w:p>
        </w:tc>
        <w:tc>
          <w:tcPr>
            <w:tcW w:w="8751"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b/>
                <w:color w:val="FF0000"/>
                <w:szCs w:val="21"/>
                <w:highlight w:val="none"/>
              </w:rPr>
            </w:pPr>
            <w:r>
              <w:rPr>
                <w:rFonts w:hint="eastAsia" w:ascii="宋体" w:hAnsi="宋体"/>
                <w:b/>
                <w:color w:val="FF0000"/>
                <w:szCs w:val="21"/>
                <w:highlight w:val="none"/>
              </w:rPr>
              <w:t>商务部分评分（B满分</w:t>
            </w:r>
            <w:r>
              <w:rPr>
                <w:rFonts w:hint="eastAsia" w:ascii="宋体" w:hAnsi="宋体"/>
                <w:b/>
                <w:color w:val="FF0000"/>
                <w:szCs w:val="21"/>
                <w:highlight w:val="none"/>
                <w:lang w:val="en-US" w:eastAsia="zh-CN"/>
              </w:rPr>
              <w:t>10</w:t>
            </w:r>
            <w:r>
              <w:rPr>
                <w:rFonts w:ascii="宋体" w:hAnsi="宋体"/>
                <w:b/>
                <w:bCs/>
                <w:color w:val="FF0000"/>
                <w:szCs w:val="21"/>
                <w:highlight w:val="none"/>
              </w:rPr>
              <w:t>分</w:t>
            </w:r>
            <w:r>
              <w:rPr>
                <w:rFonts w:hint="eastAsia" w:ascii="宋体" w:hAnsi="宋体"/>
                <w:b/>
                <w:color w:val="FF0000"/>
                <w:szCs w:val="21"/>
                <w:highlight w:val="none"/>
              </w:rPr>
              <w:t>）</w:t>
            </w:r>
          </w:p>
          <w:p>
            <w:pPr>
              <w:spacing w:line="480" w:lineRule="exact"/>
              <w:rPr>
                <w:rFonts w:hint="eastAsia" w:ascii="宋体" w:hAnsi="宋体"/>
                <w:b/>
                <w:color w:val="FF0000"/>
                <w:szCs w:val="21"/>
                <w:highlight w:val="none"/>
              </w:rPr>
            </w:pPr>
            <w:r>
              <w:rPr>
                <w:rFonts w:hint="eastAsia" w:ascii="宋体" w:hAnsi="宋体"/>
                <w:b/>
                <w:color w:val="FF0000"/>
                <w:szCs w:val="21"/>
                <w:highlight w:val="none"/>
              </w:rPr>
              <w:t>注:以下评分中，投标人均需提供证明文件且在有效期内，否则不得分，原件备查。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0" w:type="dxa"/>
            <w:tcBorders>
              <w:left w:val="single" w:color="auto" w:sz="4" w:space="0"/>
              <w:right w:val="single" w:color="auto" w:sz="4" w:space="0"/>
            </w:tcBorders>
            <w:noWrap w:val="0"/>
            <w:vAlign w:val="center"/>
          </w:tcPr>
          <w:p>
            <w:pPr>
              <w:spacing w:line="480" w:lineRule="exact"/>
              <w:jc w:val="center"/>
              <w:rPr>
                <w:rFonts w:hint="eastAsia" w:ascii="宋体" w:hAnsi="宋体" w:eastAsia="宋体"/>
                <w:color w:val="FF0000"/>
                <w:szCs w:val="21"/>
                <w:highlight w:val="none"/>
                <w:lang w:val="en-US" w:eastAsia="zh-CN"/>
              </w:rPr>
            </w:pPr>
            <w:r>
              <w:rPr>
                <w:rFonts w:hint="eastAsia" w:ascii="宋体" w:hAnsi="宋体"/>
                <w:color w:val="FF0000"/>
                <w:szCs w:val="21"/>
                <w:highlight w:val="none"/>
              </w:rPr>
              <w:t>B</w:t>
            </w:r>
            <w:r>
              <w:rPr>
                <w:rFonts w:hint="eastAsia" w:ascii="宋体" w:hAnsi="宋体"/>
                <w:color w:val="FF0000"/>
                <w:szCs w:val="21"/>
                <w:highlight w:val="none"/>
                <w:lang w:val="en-US" w:eastAsia="zh-CN"/>
              </w:rPr>
              <w:t>1</w:t>
            </w:r>
          </w:p>
        </w:tc>
        <w:tc>
          <w:tcPr>
            <w:tcW w:w="1458" w:type="dxa"/>
            <w:tcBorders>
              <w:left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bCs/>
                <w:color w:val="FF0000"/>
                <w:szCs w:val="21"/>
                <w:highlight w:val="none"/>
              </w:rPr>
              <w:t>业绩</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5</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color w:val="FF0000"/>
                <w:szCs w:val="21"/>
                <w:highlight w:val="none"/>
              </w:rPr>
            </w:pPr>
            <w:r>
              <w:rPr>
                <w:rFonts w:ascii="宋体" w:hAnsi="宋体"/>
                <w:color w:val="FF0000"/>
                <w:szCs w:val="21"/>
                <w:highlight w:val="none"/>
              </w:rPr>
              <w:t>投标人</w:t>
            </w:r>
            <w:r>
              <w:rPr>
                <w:rFonts w:hint="eastAsia" w:ascii="宋体" w:hAnsi="宋体"/>
                <w:color w:val="FF0000"/>
                <w:szCs w:val="21"/>
                <w:highlight w:val="none"/>
                <w:lang w:val="en-US" w:eastAsia="zh-CN"/>
              </w:rPr>
              <w:t>项目负责人</w:t>
            </w:r>
            <w:r>
              <w:rPr>
                <w:rFonts w:ascii="宋体" w:hAnsi="宋体"/>
                <w:color w:val="FF0000"/>
                <w:szCs w:val="21"/>
                <w:highlight w:val="none"/>
              </w:rPr>
              <w:t>提供201</w:t>
            </w:r>
            <w:r>
              <w:rPr>
                <w:rFonts w:hint="eastAsia" w:ascii="宋体" w:hAnsi="宋体"/>
                <w:color w:val="FF0000"/>
                <w:szCs w:val="21"/>
                <w:highlight w:val="none"/>
              </w:rPr>
              <w:t>5</w:t>
            </w:r>
            <w:r>
              <w:rPr>
                <w:rFonts w:ascii="宋体" w:hAnsi="宋体"/>
                <w:color w:val="FF0000"/>
                <w:szCs w:val="21"/>
                <w:highlight w:val="none"/>
              </w:rPr>
              <w:t>年1月至本次投标截止日期内</w:t>
            </w:r>
            <w:r>
              <w:rPr>
                <w:rFonts w:hint="eastAsia" w:ascii="宋体" w:hAnsi="宋体"/>
                <w:color w:val="FF0000"/>
                <w:szCs w:val="21"/>
                <w:highlight w:val="none"/>
              </w:rPr>
              <w:t>的</w:t>
            </w:r>
            <w:r>
              <w:rPr>
                <w:rFonts w:hint="eastAsia" w:ascii="宋体" w:hAnsi="宋体"/>
                <w:color w:val="FF0000"/>
                <w:szCs w:val="21"/>
                <w:highlight w:val="none"/>
                <w:lang w:val="en-US" w:eastAsia="zh-CN"/>
              </w:rPr>
              <w:t>类似公路</w:t>
            </w:r>
            <w:r>
              <w:rPr>
                <w:rFonts w:hint="eastAsia" w:ascii="宋体" w:hAnsi="宋体"/>
                <w:color w:val="FF0000"/>
                <w:szCs w:val="21"/>
                <w:highlight w:val="none"/>
              </w:rPr>
              <w:t>雕塑业绩合同复印件（各一），每提供一份得</w:t>
            </w:r>
            <w:r>
              <w:rPr>
                <w:rFonts w:hint="eastAsia" w:ascii="宋体" w:hAnsi="宋体"/>
                <w:color w:val="FF0000"/>
                <w:szCs w:val="21"/>
                <w:highlight w:val="none"/>
                <w:lang w:val="en-US" w:eastAsia="zh-CN"/>
              </w:rPr>
              <w:t>2.5</w:t>
            </w:r>
            <w:r>
              <w:rPr>
                <w:rFonts w:hint="eastAsia" w:ascii="宋体" w:hAnsi="宋体"/>
                <w:color w:val="FF0000"/>
                <w:szCs w:val="21"/>
                <w:highlight w:val="none"/>
              </w:rPr>
              <w:t>分（满分</w:t>
            </w:r>
            <w:r>
              <w:rPr>
                <w:rFonts w:hint="eastAsia" w:ascii="宋体" w:hAnsi="宋体"/>
                <w:color w:val="FF0000"/>
                <w:szCs w:val="21"/>
                <w:highlight w:val="none"/>
                <w:lang w:val="en-US" w:eastAsia="zh-CN"/>
              </w:rPr>
              <w:t>5</w:t>
            </w:r>
            <w:r>
              <w:rPr>
                <w:rFonts w:ascii="宋体" w:hAnsi="宋体"/>
                <w:color w:val="FF0000"/>
                <w:szCs w:val="21"/>
                <w:highlight w:val="none"/>
              </w:rPr>
              <w:t>分</w:t>
            </w:r>
            <w:r>
              <w:rPr>
                <w:rFonts w:hint="eastAsia" w:ascii="宋体" w:hAnsi="宋体"/>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20" w:type="dxa"/>
            <w:tcBorders>
              <w:left w:val="single" w:color="auto" w:sz="4" w:space="0"/>
              <w:right w:val="single" w:color="auto" w:sz="4" w:space="0"/>
            </w:tcBorders>
            <w:noWrap w:val="0"/>
            <w:vAlign w:val="center"/>
          </w:tcPr>
          <w:p>
            <w:pPr>
              <w:spacing w:line="480" w:lineRule="exact"/>
              <w:jc w:val="center"/>
              <w:rPr>
                <w:rFonts w:hint="eastAsia" w:ascii="宋体" w:hAnsi="宋体" w:eastAsia="宋体"/>
                <w:color w:val="FF0000"/>
                <w:szCs w:val="21"/>
                <w:highlight w:val="none"/>
                <w:lang w:val="en-US" w:eastAsia="zh-CN"/>
              </w:rPr>
            </w:pPr>
            <w:r>
              <w:rPr>
                <w:rFonts w:hint="eastAsia" w:ascii="宋体" w:hAnsi="宋体"/>
                <w:color w:val="FF0000"/>
                <w:szCs w:val="21"/>
                <w:highlight w:val="none"/>
              </w:rPr>
              <w:t>B</w:t>
            </w:r>
            <w:r>
              <w:rPr>
                <w:rFonts w:hint="eastAsia" w:ascii="宋体" w:hAnsi="宋体"/>
                <w:color w:val="FF0000"/>
                <w:szCs w:val="21"/>
                <w:highlight w:val="none"/>
                <w:lang w:val="en-US" w:eastAsia="zh-CN"/>
              </w:rPr>
              <w:t>2</w:t>
            </w:r>
          </w:p>
        </w:tc>
        <w:tc>
          <w:tcPr>
            <w:tcW w:w="1458" w:type="dxa"/>
            <w:tcBorders>
              <w:left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bCs/>
                <w:color w:val="FF0000"/>
                <w:szCs w:val="21"/>
                <w:highlight w:val="none"/>
              </w:rPr>
              <w:t>资质团队</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3</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宋体" w:hAnsi="宋体"/>
                <w:color w:val="FF0000"/>
                <w:szCs w:val="21"/>
                <w:highlight w:val="none"/>
              </w:rPr>
            </w:pPr>
            <w:r>
              <w:rPr>
                <w:rFonts w:hint="eastAsia" w:ascii="宋体" w:hAnsi="宋体"/>
                <w:color w:val="FF0000"/>
                <w:szCs w:val="21"/>
                <w:highlight w:val="none"/>
              </w:rPr>
              <w:t>项目负责人具有雕塑设计及以上专业职称，，项目团队具有雕塑及园林景观类专业毕业生。（提供该人员毕业证书材料。原件备查。）得</w:t>
            </w:r>
            <w:r>
              <w:rPr>
                <w:rFonts w:hint="eastAsia" w:ascii="宋体" w:hAnsi="宋体"/>
                <w:color w:val="FF0000"/>
                <w:szCs w:val="21"/>
                <w:highlight w:val="none"/>
                <w:lang w:val="en-US" w:eastAsia="zh-CN"/>
              </w:rPr>
              <w:t>3</w:t>
            </w:r>
            <w:r>
              <w:rPr>
                <w:rFonts w:hint="eastAsia" w:ascii="宋体" w:hAnsi="宋体"/>
                <w:color w:val="FF0000"/>
                <w:szCs w:val="21"/>
                <w:highlight w:val="none"/>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left w:val="single" w:color="auto" w:sz="4" w:space="0"/>
              <w:right w:val="single" w:color="auto" w:sz="4" w:space="0"/>
            </w:tcBorders>
            <w:noWrap w:val="0"/>
            <w:vAlign w:val="center"/>
          </w:tcPr>
          <w:p>
            <w:pPr>
              <w:widowControl/>
              <w:spacing w:line="480" w:lineRule="exact"/>
              <w:jc w:val="center"/>
              <w:rPr>
                <w:rFonts w:hint="eastAsia" w:ascii="宋体" w:hAnsi="宋体" w:eastAsia="宋体"/>
                <w:color w:val="FF0000"/>
                <w:szCs w:val="21"/>
                <w:highlight w:val="none"/>
                <w:lang w:val="en-US" w:eastAsia="zh-CN"/>
              </w:rPr>
            </w:pPr>
            <w:r>
              <w:rPr>
                <w:rFonts w:hint="eastAsia" w:ascii="宋体" w:hAnsi="宋体"/>
                <w:color w:val="FF0000"/>
                <w:szCs w:val="21"/>
                <w:highlight w:val="none"/>
              </w:rPr>
              <w:t>B</w:t>
            </w:r>
            <w:r>
              <w:rPr>
                <w:rFonts w:hint="eastAsia" w:ascii="宋体" w:hAnsi="宋体"/>
                <w:color w:val="FF0000"/>
                <w:szCs w:val="21"/>
                <w:highlight w:val="none"/>
                <w:lang w:val="en-US" w:eastAsia="zh-CN"/>
              </w:rPr>
              <w:t>3</w:t>
            </w:r>
          </w:p>
        </w:tc>
        <w:tc>
          <w:tcPr>
            <w:tcW w:w="1458" w:type="dxa"/>
            <w:tcBorders>
              <w:left w:val="single" w:color="auto" w:sz="4" w:space="0"/>
              <w:right w:val="single" w:color="auto" w:sz="4" w:space="0"/>
            </w:tcBorders>
            <w:noWrap w:val="0"/>
            <w:vAlign w:val="center"/>
          </w:tcPr>
          <w:p>
            <w:pPr>
              <w:spacing w:line="480" w:lineRule="exact"/>
              <w:jc w:val="center"/>
              <w:rPr>
                <w:rFonts w:hint="eastAsia" w:ascii="宋体" w:hAnsi="宋体"/>
                <w:bCs/>
                <w:color w:val="FF0000"/>
                <w:szCs w:val="21"/>
                <w:highlight w:val="none"/>
              </w:rPr>
            </w:pPr>
            <w:r>
              <w:rPr>
                <w:rFonts w:hint="eastAsia" w:ascii="宋体" w:hAnsi="宋体"/>
                <w:color w:val="FF0000"/>
                <w:szCs w:val="21"/>
                <w:highlight w:val="none"/>
              </w:rPr>
              <w:t>本地化服务</w:t>
            </w:r>
          </w:p>
        </w:tc>
        <w:tc>
          <w:tcPr>
            <w:tcW w:w="1062"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2</w:t>
            </w:r>
            <w:r>
              <w:rPr>
                <w:rFonts w:hint="eastAsia" w:ascii="宋体" w:hAnsi="宋体"/>
                <w:color w:val="FF0000"/>
                <w:szCs w:val="21"/>
                <w:highlight w:val="none"/>
              </w:rPr>
              <w:t>分</w:t>
            </w:r>
          </w:p>
        </w:tc>
        <w:tc>
          <w:tcPr>
            <w:tcW w:w="6231" w:type="dxa"/>
            <w:tcBorders>
              <w:top w:val="single" w:color="auto" w:sz="4" w:space="0"/>
              <w:left w:val="single" w:color="auto" w:sz="4" w:space="0"/>
              <w:right w:val="single" w:color="auto" w:sz="4" w:space="0"/>
            </w:tcBorders>
            <w:noWrap w:val="0"/>
            <w:vAlign w:val="center"/>
          </w:tcPr>
          <w:p>
            <w:pPr>
              <w:spacing w:line="480" w:lineRule="exact"/>
              <w:rPr>
                <w:rFonts w:hint="eastAsia" w:ascii="宋体" w:hAnsi="宋体"/>
                <w:color w:val="FF0000"/>
                <w:szCs w:val="21"/>
                <w:highlight w:val="none"/>
              </w:rPr>
            </w:pPr>
            <w:r>
              <w:rPr>
                <w:rFonts w:hint="eastAsia" w:ascii="宋体" w:hAnsi="宋体"/>
                <w:color w:val="FF0000"/>
                <w:szCs w:val="21"/>
                <w:highlight w:val="none"/>
              </w:rPr>
              <w:t>各投标人对所投产品的质量保证承诺、维护响应计划（包括时间、方式、人员安排等）、保修期后的服务项目情况由评标委员会进行综合评定，为保障本地化售后服务的便捷性，投标人在福州市内（马尾区除外）</w:t>
            </w:r>
            <w:r>
              <w:rPr>
                <w:rFonts w:hint="eastAsia" w:ascii="宋体" w:hAnsi="宋体"/>
                <w:color w:val="FF0000"/>
                <w:kern w:val="0"/>
                <w:szCs w:val="21"/>
                <w:highlight w:val="none"/>
              </w:rPr>
              <w:t>设有公司</w:t>
            </w:r>
            <w:r>
              <w:rPr>
                <w:rFonts w:hint="eastAsia" w:ascii="宋体" w:hAnsi="宋体"/>
                <w:color w:val="FF0000"/>
                <w:szCs w:val="21"/>
                <w:highlight w:val="none"/>
              </w:rPr>
              <w:t>的加</w:t>
            </w:r>
            <w:r>
              <w:rPr>
                <w:rFonts w:hint="eastAsia" w:ascii="宋体" w:hAnsi="宋体"/>
                <w:color w:val="FF0000"/>
                <w:szCs w:val="21"/>
                <w:highlight w:val="none"/>
                <w:lang w:val="en-US" w:eastAsia="zh-CN"/>
              </w:rPr>
              <w:t>2</w:t>
            </w:r>
            <w:r>
              <w:rPr>
                <w:rFonts w:hint="eastAsia" w:ascii="宋体" w:hAnsi="宋体"/>
                <w:color w:val="FF0000"/>
                <w:szCs w:val="21"/>
                <w:highlight w:val="none"/>
              </w:rPr>
              <w:t>分（满分</w:t>
            </w:r>
            <w:r>
              <w:rPr>
                <w:rFonts w:hint="eastAsia" w:ascii="宋体" w:hAnsi="宋体"/>
                <w:color w:val="FF0000"/>
                <w:szCs w:val="21"/>
                <w:highlight w:val="none"/>
                <w:lang w:val="en-US" w:eastAsia="zh-CN"/>
              </w:rPr>
              <w:t>2</w:t>
            </w:r>
            <w:r>
              <w:rPr>
                <w:rFonts w:hint="eastAsia" w:ascii="宋体" w:hAnsi="宋体"/>
                <w:color w:val="FF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71" w:type="dxa"/>
            <w:gridSpan w:val="4"/>
            <w:tcBorders>
              <w:left w:val="single" w:color="auto" w:sz="4" w:space="0"/>
              <w:bottom w:val="single" w:color="auto" w:sz="4" w:space="0"/>
              <w:right w:val="single" w:color="auto" w:sz="4" w:space="0"/>
            </w:tcBorders>
            <w:noWrap w:val="0"/>
            <w:vAlign w:val="top"/>
          </w:tcPr>
          <w:p>
            <w:pPr>
              <w:spacing w:line="480" w:lineRule="exact"/>
              <w:rPr>
                <w:rFonts w:hint="eastAsia" w:ascii="宋体" w:hAnsi="宋体"/>
                <w:color w:val="FF0000"/>
                <w:szCs w:val="21"/>
                <w:highlight w:val="none"/>
              </w:rPr>
            </w:pPr>
            <w:r>
              <w:rPr>
                <w:rFonts w:hint="eastAsia" w:ascii="宋体" w:hAnsi="宋体"/>
                <w:color w:val="FF0000"/>
                <w:szCs w:val="21"/>
                <w:highlight w:val="none"/>
              </w:rPr>
              <w:t>各投标人的商务部分得分B=B1+B2+B3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71" w:type="dxa"/>
            <w:gridSpan w:val="4"/>
            <w:tcBorders>
              <w:left w:val="single" w:color="auto" w:sz="4" w:space="0"/>
              <w:bottom w:val="single" w:color="auto" w:sz="4" w:space="0"/>
              <w:right w:val="single" w:color="auto" w:sz="4" w:space="0"/>
            </w:tcBorders>
            <w:noWrap w:val="0"/>
            <w:vAlign w:val="top"/>
          </w:tcPr>
          <w:p>
            <w:pPr>
              <w:spacing w:line="480" w:lineRule="exact"/>
              <w:rPr>
                <w:rFonts w:hint="eastAsia" w:ascii="宋体" w:hAnsi="宋体"/>
                <w:color w:val="FF0000"/>
                <w:szCs w:val="21"/>
                <w:highlight w:val="none"/>
              </w:rPr>
            </w:pPr>
            <w:r>
              <w:rPr>
                <w:rFonts w:hint="eastAsia" w:ascii="宋体" w:hAnsi="宋体"/>
                <w:b/>
                <w:color w:val="FF0000"/>
                <w:spacing w:val="-2"/>
                <w:szCs w:val="21"/>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三</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rPr>
              <w:t>报价部分评分 C</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olor w:val="FF0000"/>
                <w:szCs w:val="21"/>
                <w:highlight w:val="none"/>
              </w:rPr>
            </w:pPr>
            <w:r>
              <w:rPr>
                <w:rFonts w:hint="eastAsia" w:ascii="宋体" w:hAnsi="宋体"/>
                <w:color w:val="FF0000"/>
                <w:szCs w:val="21"/>
                <w:highlight w:val="none"/>
                <w:lang w:val="en-US" w:eastAsia="zh-CN"/>
              </w:rPr>
              <w:t>60</w:t>
            </w:r>
            <w:r>
              <w:rPr>
                <w:rFonts w:hint="eastAsia" w:ascii="宋体" w:hAnsi="宋体"/>
                <w:color w:val="FF0000"/>
                <w:szCs w:val="21"/>
                <w:highlight w:val="none"/>
              </w:rPr>
              <w:t>分</w:t>
            </w:r>
          </w:p>
        </w:tc>
        <w:tc>
          <w:tcPr>
            <w:tcW w:w="6231" w:type="dxa"/>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420" w:firstLineChars="200"/>
              <w:rPr>
                <w:rFonts w:ascii="宋体" w:hAnsi="宋体"/>
                <w:color w:val="FF0000"/>
                <w:szCs w:val="21"/>
                <w:highlight w:val="none"/>
              </w:rPr>
            </w:pPr>
            <w:r>
              <w:rPr>
                <w:rFonts w:hint="eastAsia" w:ascii="宋体" w:hAnsi="宋体"/>
                <w:color w:val="FF0000"/>
                <w:szCs w:val="21"/>
                <w:highlight w:val="none"/>
              </w:rPr>
              <w:t>满足招标文件要求的最低报价得</w:t>
            </w:r>
            <w:r>
              <w:rPr>
                <w:rFonts w:hint="eastAsia" w:ascii="宋体" w:hAnsi="宋体"/>
                <w:color w:val="FF0000"/>
                <w:szCs w:val="21"/>
                <w:highlight w:val="none"/>
                <w:lang w:val="en-US" w:eastAsia="zh-CN"/>
              </w:rPr>
              <w:t>60</w:t>
            </w:r>
            <w:r>
              <w:rPr>
                <w:rFonts w:hint="eastAsia" w:ascii="宋体" w:hAnsi="宋体"/>
                <w:color w:val="FF0000"/>
                <w:szCs w:val="21"/>
                <w:highlight w:val="none"/>
              </w:rPr>
              <w:t>分，满足招标文件要求的第二低报价得</w:t>
            </w:r>
            <w:r>
              <w:rPr>
                <w:rFonts w:hint="eastAsia" w:ascii="宋体" w:hAnsi="宋体"/>
                <w:color w:val="FF0000"/>
                <w:szCs w:val="21"/>
                <w:highlight w:val="none"/>
                <w:lang w:val="en-US" w:eastAsia="zh-CN"/>
              </w:rPr>
              <w:t>59</w:t>
            </w:r>
            <w:r>
              <w:rPr>
                <w:rFonts w:hint="eastAsia" w:ascii="宋体" w:hAnsi="宋体"/>
                <w:color w:val="FF0000"/>
                <w:szCs w:val="21"/>
                <w:highlight w:val="none"/>
              </w:rPr>
              <w:t>分，按价格从低到高报价排名每上升一名减一分。</w:t>
            </w:r>
          </w:p>
          <w:p>
            <w:pPr>
              <w:spacing w:line="480" w:lineRule="exact"/>
              <w:ind w:firstLine="420" w:firstLineChars="200"/>
              <w:rPr>
                <w:rFonts w:hint="eastAsia" w:ascii="宋体" w:hAnsi="宋体"/>
                <w:color w:val="FF0000"/>
                <w:szCs w:val="21"/>
                <w:highlight w:val="none"/>
              </w:rPr>
            </w:pPr>
          </w:p>
        </w:tc>
      </w:tr>
    </w:tbl>
    <w:p>
      <w:pPr>
        <w:rPr>
          <w:rFonts w:hint="eastAsia"/>
          <w:color w:val="FF0000"/>
          <w:highlight w:val="none"/>
        </w:rPr>
      </w:pPr>
    </w:p>
    <w:p>
      <w:pPr>
        <w:tabs>
          <w:tab w:val="left" w:pos="1260"/>
        </w:tabs>
        <w:spacing w:line="460" w:lineRule="exact"/>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pStyle w:val="2"/>
        <w:rPr>
          <w:rFonts w:hint="eastAsia" w:ascii="宋体" w:hAnsi="宋体"/>
          <w:color w:val="FF0000"/>
          <w:szCs w:val="21"/>
          <w:highlight w:val="none"/>
        </w:rPr>
      </w:pPr>
    </w:p>
    <w:p>
      <w:pPr>
        <w:spacing w:line="360" w:lineRule="exact"/>
        <w:ind w:firstLine="480" w:firstLineChars="200"/>
        <w:outlineLvl w:val="1"/>
        <w:rPr>
          <w:rFonts w:hint="eastAsia" w:ascii="宋体" w:hAnsi="宋体"/>
          <w:color w:val="FF0000"/>
          <w:sz w:val="24"/>
          <w:highlight w:val="none"/>
        </w:rPr>
      </w:pPr>
      <w:r>
        <w:rPr>
          <w:rFonts w:hint="eastAsia" w:ascii="宋体" w:hAnsi="宋体"/>
          <w:color w:val="FF0000"/>
          <w:sz w:val="24"/>
          <w:highlight w:val="none"/>
        </w:rPr>
        <w:t>1、评审方法</w:t>
      </w:r>
    </w:p>
    <w:p>
      <w:pPr>
        <w:spacing w:line="360" w:lineRule="exact"/>
        <w:ind w:firstLine="480" w:firstLineChars="200"/>
        <w:rPr>
          <w:rFonts w:hint="eastAsia" w:ascii="宋体" w:hAnsi="宋体"/>
          <w:color w:val="FF0000"/>
          <w:sz w:val="24"/>
          <w:highlight w:val="none"/>
        </w:rPr>
      </w:pPr>
      <w:r>
        <w:rPr>
          <w:rFonts w:hint="eastAsia" w:ascii="宋体" w:hAnsi="宋体"/>
          <w:color w:val="FF0000"/>
          <w:sz w:val="24"/>
          <w:highlight w:val="none"/>
        </w:rPr>
        <w:t>本次评审采用</w:t>
      </w:r>
      <w:r>
        <w:rPr>
          <w:rFonts w:hint="eastAsia" w:ascii="宋体" w:hAnsi="宋体" w:cs="仿宋_GB2312"/>
          <w:color w:val="FF0000"/>
          <w:sz w:val="24"/>
          <w:highlight w:val="none"/>
          <w:lang w:val="en-US" w:eastAsia="zh-CN"/>
        </w:rPr>
        <w:t>综合评标</w:t>
      </w:r>
      <w:r>
        <w:rPr>
          <w:rFonts w:hint="eastAsia" w:ascii="宋体" w:hAnsi="宋体" w:cs="仿宋_GB2312"/>
          <w:color w:val="FF0000"/>
          <w:sz w:val="24"/>
          <w:highlight w:val="none"/>
        </w:rPr>
        <w:t>法</w:t>
      </w:r>
      <w:r>
        <w:rPr>
          <w:rFonts w:hint="eastAsia" w:ascii="宋体" w:hAnsi="宋体"/>
          <w:color w:val="FF0000"/>
          <w:sz w:val="24"/>
          <w:highlight w:val="none"/>
        </w:rPr>
        <w:t>。</w:t>
      </w:r>
      <w:bookmarkStart w:id="1" w:name="_Toc234382676"/>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hint="eastAsia"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hint="eastAsia" w:ascii="宋体" w:hAnsi="宋体"/>
          <w:sz w:val="24"/>
          <w:highlight w:val="none"/>
        </w:rPr>
      </w:pPr>
      <w:r>
        <w:rPr>
          <w:rFonts w:hint="eastAsia" w:ascii="宋体" w:hAnsi="宋体"/>
          <w:sz w:val="24"/>
          <w:highlight w:val="none"/>
        </w:rPr>
        <w:t>2.1.1 形式评审标准：见评标办法前附表。</w:t>
      </w:r>
    </w:p>
    <w:p>
      <w:pPr>
        <w:spacing w:line="360" w:lineRule="exact"/>
        <w:ind w:firstLine="480" w:firstLineChars="200"/>
        <w:rPr>
          <w:rFonts w:hint="eastAsia" w:ascii="宋体" w:hAnsi="宋体"/>
          <w:sz w:val="24"/>
          <w:highlight w:val="none"/>
        </w:rPr>
      </w:pPr>
      <w:r>
        <w:rPr>
          <w:rFonts w:hint="eastAsia" w:ascii="宋体" w:hAnsi="宋体"/>
          <w:sz w:val="24"/>
          <w:highlight w:val="none"/>
        </w:rPr>
        <w:t>2.1.2 响应性评审标准：见评标办法前附表。</w:t>
      </w:r>
      <w:bookmarkStart w:id="3" w:name="_Toc234382678"/>
    </w:p>
    <w:p>
      <w:pPr>
        <w:spacing w:line="360" w:lineRule="exact"/>
        <w:ind w:firstLine="480" w:firstLineChars="200"/>
        <w:rPr>
          <w:rFonts w:hint="eastAsia"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hint="eastAsia" w:ascii="宋体" w:hAnsi="宋体"/>
          <w:sz w:val="24"/>
          <w:highlight w:val="none"/>
        </w:rPr>
      </w:pPr>
      <w:r>
        <w:rPr>
          <w:rFonts w:hint="eastAsia" w:ascii="宋体" w:hAnsi="宋体"/>
          <w:sz w:val="24"/>
          <w:highlight w:val="none"/>
        </w:rPr>
        <w:t>详细评审标准：见评标办法前附表。</w:t>
      </w:r>
      <w:bookmarkStart w:id="4" w:name="_Toc234382679"/>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3. 评标程序</w:t>
      </w:r>
      <w:bookmarkEnd w:id="4"/>
      <w:bookmarkStart w:id="5" w:name="_Toc234382680"/>
    </w:p>
    <w:p>
      <w:pPr>
        <w:spacing w:line="360" w:lineRule="exact"/>
        <w:ind w:firstLine="480" w:firstLineChars="200"/>
        <w:rPr>
          <w:rFonts w:hint="eastAsia"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hint="eastAsia" w:ascii="宋体" w:hAnsi="宋体"/>
          <w:sz w:val="24"/>
          <w:highlight w:val="none"/>
        </w:rPr>
      </w:pPr>
      <w:r>
        <w:rPr>
          <w:rFonts w:hint="eastAsia" w:ascii="宋体" w:hAnsi="宋体"/>
          <w:sz w:val="24"/>
          <w:highlight w:val="none"/>
        </w:rPr>
        <w:t>3.1.1 评审小组依据评标办法前附表第1款规定的标准对报价文件进行初步评审。有一项不符合评审标准的，作废标处理。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hint="eastAsia"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hint="eastAsia"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hint="eastAsia"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hint="eastAsia"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hint="eastAsia"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hint="eastAsia"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hint="eastAsia"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hint="eastAsia"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hint="eastAsia"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hint="eastAsia"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3.1.3报价有算术错误的，评审小组按以下原则对报价进行修正，修正的价格经报价人书面确认后具有约束力。报价人不接受修正价格的，其报价作废标处理，并没收其报价保证金。</w:t>
      </w:r>
    </w:p>
    <w:p>
      <w:pPr>
        <w:spacing w:line="360" w:lineRule="exact"/>
        <w:ind w:firstLine="480" w:firstLineChars="200"/>
        <w:rPr>
          <w:rFonts w:hint="eastAsia"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hint="eastAsia"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hint="eastAsia"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hint="eastAsia"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hint="eastAsia"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（3）当单价与数量的乘积与合价（金额）虽然一致，但报价人修改了该子目的工程数量，则</w:t>
      </w:r>
      <w:r>
        <w:rPr>
          <w:rFonts w:hint="eastAsia" w:ascii="宋体" w:hAnsi="宋体"/>
          <w:b/>
          <w:bCs/>
          <w:sz w:val="24"/>
          <w:highlight w:val="none"/>
          <w:lang w:val="en-US" w:eastAsia="zh-CN"/>
        </w:rPr>
        <w:t>报价人的报价文件作废标处理</w:t>
      </w:r>
      <w:r>
        <w:rPr>
          <w:rFonts w:hint="eastAsia" w:ascii="宋体" w:hAnsi="宋体"/>
          <w:b/>
          <w:bCs/>
          <w:sz w:val="24"/>
          <w:highlight w:val="none"/>
        </w:rPr>
        <w:t>。</w:t>
      </w:r>
    </w:p>
    <w:p>
      <w:pPr>
        <w:pStyle w:val="2"/>
        <w:ind w:left="0" w:leftChars="0" w:firstLine="482" w:firstLineChars="200"/>
        <w:rPr>
          <w:rFonts w:hint="eastAsia" w:eastAsia="宋体"/>
          <w:b/>
          <w:bCs/>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4</w:t>
      </w:r>
      <w:r>
        <w:rPr>
          <w:rFonts w:hint="eastAsia" w:ascii="宋体" w:hAnsi="宋体"/>
          <w:b/>
          <w:bCs/>
          <w:sz w:val="24"/>
          <w:highlight w:val="none"/>
          <w:lang w:eastAsia="zh-CN"/>
        </w:rPr>
        <w:t>）报价人单价</w:t>
      </w:r>
      <w:r>
        <w:rPr>
          <w:rFonts w:hint="eastAsia" w:ascii="宋体" w:hAnsi="宋体"/>
          <w:b/>
          <w:bCs/>
          <w:sz w:val="24"/>
          <w:highlight w:val="none"/>
          <w:lang w:val="en-US" w:eastAsia="zh-CN"/>
        </w:rPr>
        <w:t>若</w:t>
      </w:r>
      <w:r>
        <w:rPr>
          <w:rFonts w:hint="eastAsia" w:ascii="宋体" w:hAnsi="宋体"/>
          <w:b/>
          <w:bCs/>
          <w:sz w:val="24"/>
          <w:highlight w:val="none"/>
          <w:lang w:eastAsia="zh-CN"/>
        </w:rPr>
        <w:t>高于控制价单价，报价人的报价文件作废标处理。</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3.1.5 修正后的最终报价若超过项目控制价上限，报价人的报价文件作废标处理。</w:t>
      </w:r>
      <w:bookmarkStart w:id="6" w:name="_Toc234382681"/>
    </w:p>
    <w:p>
      <w:pPr>
        <w:spacing w:line="360" w:lineRule="exact"/>
        <w:ind w:firstLine="480" w:firstLineChars="200"/>
        <w:rPr>
          <w:rFonts w:hint="eastAsia" w:ascii="宋体" w:hAnsi="宋体"/>
          <w:sz w:val="24"/>
          <w:highlight w:val="none"/>
        </w:rPr>
      </w:pPr>
      <w:r>
        <w:rPr>
          <w:rFonts w:hint="eastAsia" w:ascii="宋体" w:hAnsi="宋体"/>
          <w:sz w:val="24"/>
          <w:highlight w:val="none"/>
        </w:rPr>
        <w:t xml:space="preserve">3.1.6 </w:t>
      </w:r>
      <w:r>
        <w:rPr>
          <w:rFonts w:hint="eastAsia" w:ascii="宋体" w:hAnsi="宋体"/>
          <w:sz w:val="24"/>
          <w:highlight w:val="none"/>
        </w:rPr>
        <w:t>修正后的最终报价</w:t>
      </w:r>
      <w:r>
        <w:rPr>
          <w:rFonts w:hint="eastAsia" w:ascii="宋体" w:hAnsi="宋体"/>
          <w:sz w:val="24"/>
          <w:highlight w:val="none"/>
          <w:lang w:val="en-US" w:eastAsia="zh-CN"/>
        </w:rPr>
        <w:t>仅</w:t>
      </w:r>
      <w:r>
        <w:rPr>
          <w:rFonts w:hint="eastAsia" w:ascii="宋体" w:hAnsi="宋体"/>
          <w:sz w:val="24"/>
          <w:highlight w:val="none"/>
        </w:rPr>
        <w:t>作为评标价的计算，合同以修正后的清单签订。</w:t>
      </w:r>
    </w:p>
    <w:p>
      <w:pPr>
        <w:spacing w:line="360" w:lineRule="exact"/>
        <w:ind w:firstLine="480" w:firstLineChars="200"/>
        <w:rPr>
          <w:rFonts w:hint="eastAsia"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hint="eastAsia" w:ascii="宋体" w:hAnsi="宋体"/>
          <w:sz w:val="24"/>
          <w:highlight w:val="none"/>
        </w:rPr>
      </w:pPr>
      <w:r>
        <w:rPr>
          <w:rFonts w:hint="eastAsia" w:ascii="宋体" w:hAnsi="宋体"/>
          <w:sz w:val="24"/>
          <w:highlight w:val="none"/>
        </w:rPr>
        <w:t>3.2.1评审小组按评标办法前附表第2款规定的量化因素和标准进行价格折算，计算出报价，并编制价格比较一览表。</w:t>
      </w:r>
    </w:p>
    <w:p>
      <w:pPr>
        <w:spacing w:line="360" w:lineRule="exact"/>
        <w:ind w:firstLine="480" w:firstLineChars="200"/>
        <w:rPr>
          <w:rFonts w:hint="eastAsia"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hint="eastAsia"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hint="eastAsia" w:ascii="宋体" w:hAnsi="宋体"/>
          <w:sz w:val="24"/>
          <w:highlight w:val="none"/>
        </w:rPr>
      </w:pPr>
      <w:r>
        <w:rPr>
          <w:rFonts w:hint="eastAsia" w:ascii="宋体" w:hAnsi="宋体"/>
          <w:sz w:val="24"/>
          <w:highlight w:val="none"/>
        </w:rPr>
        <w:t>3.3.1在评标过程中，评审小组可以书面形式要求报价人对所提交的报价文件中不明确的内容进行书面澄清或说明，或者对细微偏差进行补正。评审小组不接受报价人主动提出的澄清、说明或补正。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hint="eastAsia"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hint="eastAsia" w:ascii="宋体" w:hAnsi="宋体"/>
          <w:sz w:val="24"/>
          <w:highlight w:val="none"/>
        </w:rPr>
      </w:pPr>
      <w:r>
        <w:rPr>
          <w:rFonts w:hint="eastAsia" w:ascii="宋体" w:hAnsi="宋体"/>
          <w:sz w:val="24"/>
          <w:highlight w:val="none"/>
        </w:rPr>
        <w:t>3.3.4 凡超出采购文件规定的或给采购人带来未曾要求的利益的变化、偏差或其他因素在评标时不予考虑。</w:t>
      </w:r>
      <w:bookmarkStart w:id="8" w:name="_Toc234382683"/>
    </w:p>
    <w:p>
      <w:pPr>
        <w:spacing w:line="360" w:lineRule="exact"/>
        <w:ind w:firstLine="480" w:firstLineChars="200"/>
        <w:rPr>
          <w:rFonts w:hint="eastAsia" w:ascii="宋体" w:hAnsi="宋体"/>
          <w:sz w:val="24"/>
          <w:highlight w:val="none"/>
        </w:rPr>
      </w:pPr>
      <w:r>
        <w:rPr>
          <w:rFonts w:hint="eastAsia" w:ascii="宋体" w:hAnsi="宋体"/>
          <w:sz w:val="24"/>
          <w:highlight w:val="none"/>
        </w:rPr>
        <w:t>3.4 评标结果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评审小组对满足采购文件实质要求的报价文件，根据评标办法前附表第2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每个报价人仅能成交一个合同包，若某一个报价人在合同包1中作为第一成交候选人后，根据每个报价人在本项目只能中一个合同包的原则，该报价人自动放弃合同包2的评分资格。</w:t>
      </w:r>
    </w:p>
    <w:p>
      <w:pPr>
        <w:pStyle w:val="2"/>
        <w:ind w:firstLine="400"/>
        <w:rPr>
          <w:highlight w:val="none"/>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pStyle w:val="2"/>
        <w:ind w:firstLine="400"/>
        <w:rPr>
          <w:rFonts w:hint="eastAsia"/>
          <w:highlight w:val="none"/>
        </w:rPr>
      </w:pPr>
    </w:p>
    <w:p>
      <w:pPr>
        <w:numPr>
          <w:ilvl w:val="0"/>
          <w:numId w:val="3"/>
        </w:numPr>
        <w:spacing w:line="600" w:lineRule="exact"/>
        <w:jc w:val="center"/>
        <w:outlineLvl w:val="0"/>
        <w:rPr>
          <w:rFonts w:hint="eastAsia"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440" w:lineRule="exact"/>
        <w:outlineLvl w:val="0"/>
        <w:rPr>
          <w:rFonts w:hint="eastAsia" w:ascii="仿宋_GB2312" w:hAnsi="宋体" w:eastAsia="仿宋_GB2312"/>
          <w:b/>
          <w:bCs/>
          <w:sz w:val="36"/>
          <w:highlight w:val="none"/>
        </w:rPr>
      </w:pP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w:t>
      </w:r>
      <w:r>
        <w:rPr>
          <w:rFonts w:hint="eastAsia" w:ascii="宋体" w:hAnsi="宋体" w:cs="宋体"/>
          <w:szCs w:val="21"/>
          <w:highlight w:val="none"/>
        </w:rPr>
        <w:t>（承包人名称，以下简称“承包人”）对该项目施工承包报价。发包人和承包人共同达成如下协议。</w:t>
      </w:r>
    </w:p>
    <w:p>
      <w:pPr>
        <w:spacing w:line="440" w:lineRule="exact"/>
        <w:ind w:firstLine="359" w:firstLineChars="171"/>
        <w:rPr>
          <w:rFonts w:hint="eastAsia" w:ascii="宋体" w:hAnsi="宋体" w:cs="宋体"/>
          <w:highlight w:val="none"/>
        </w:rPr>
      </w:pPr>
      <w:r>
        <w:rPr>
          <w:rFonts w:hint="eastAsia" w:ascii="宋体" w:hAnsi="宋体" w:cs="宋体"/>
          <w:szCs w:val="21"/>
          <w:highlight w:val="none"/>
        </w:rPr>
        <w:t>1. 本协议书与下列文件一起构成合</w:t>
      </w:r>
      <w:r>
        <w:rPr>
          <w:rFonts w:hint="eastAsia" w:ascii="宋体" w:hAnsi="宋体" w:cs="宋体"/>
          <w:highlight w:val="none"/>
        </w:rPr>
        <w:t>同文件：</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（1）合同协议书（补充协议如有）；</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（2）发包人要求</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（3）成交通知书；</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（5）设计文件、图纸；</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（7）承包人实施计划；</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（8）承包人成交的工程量清单；</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（9）本项目采购文件（除上述项目以外的部分）；</w:t>
      </w:r>
    </w:p>
    <w:p>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（10）报价文件及其附件（除上述项目以外的部分）。</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2. 上述文件互相补充和解释，如有不明确或不一致之处，以合同约定次序在先者为准。</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6. 承包人承诺按合同约定承担工程的实施、竣工及缺陷修复。</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本工程工期为合同签订日期开始</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9.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440" w:lineRule="exact"/>
        <w:ind w:firstLine="359" w:firstLineChars="171"/>
        <w:rPr>
          <w:rFonts w:hint="eastAsia" w:ascii="宋体" w:hAnsi="宋体" w:cs="宋体"/>
          <w:szCs w:val="21"/>
          <w:highlight w:val="none"/>
        </w:rPr>
      </w:pPr>
      <w:r>
        <w:rPr>
          <w:rFonts w:hint="eastAsia" w:ascii="宋体" w:hAnsi="宋体" w:cs="宋体"/>
          <w:szCs w:val="21"/>
          <w:highlight w:val="none"/>
        </w:rPr>
        <w:t>10.合同未尽事宜，双方另行签订补充协议。补充协议是合同的组成部分。</w:t>
      </w:r>
    </w:p>
    <w:p>
      <w:pPr>
        <w:spacing w:line="480" w:lineRule="auto"/>
        <w:ind w:firstLine="359" w:firstLineChars="171"/>
        <w:rPr>
          <w:rFonts w:hint="eastAsia" w:ascii="宋体" w:hAnsi="宋体" w:cs="宋体"/>
          <w:szCs w:val="21"/>
          <w:highlight w:val="none"/>
        </w:rPr>
      </w:pPr>
    </w:p>
    <w:p>
      <w:pPr>
        <w:spacing w:line="480" w:lineRule="auto"/>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80" w:lineRule="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80" w:lineRule="auto"/>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pacing w:line="480" w:lineRule="auto"/>
        <w:rPr>
          <w:rFonts w:hint="eastAsia" w:ascii="宋体" w:hAnsi="宋体" w:cs="宋体"/>
          <w:szCs w:val="21"/>
          <w:highlight w:val="none"/>
        </w:rPr>
      </w:pPr>
    </w:p>
    <w:p>
      <w:pPr>
        <w:numPr>
          <w:ilvl w:val="0"/>
          <w:numId w:val="4"/>
        </w:numPr>
        <w:tabs>
          <w:tab w:val="left" w:pos="0"/>
        </w:tabs>
        <w:spacing w:line="440" w:lineRule="exact"/>
        <w:ind w:firstLine="42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图纸</w:t>
      </w:r>
    </w:p>
    <w:p>
      <w:pPr>
        <w:numPr>
          <w:ilvl w:val="0"/>
          <w:numId w:val="0"/>
        </w:numPr>
        <w:tabs>
          <w:tab w:val="left" w:pos="0"/>
        </w:tabs>
        <w:spacing w:line="440" w:lineRule="exact"/>
        <w:ind w:firstLine="723" w:firstLineChars="200"/>
        <w:jc w:val="both"/>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详见另册</w:t>
      </w: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both"/>
        <w:outlineLvl w:val="0"/>
        <w:rPr>
          <w:rFonts w:hint="eastAsia" w:ascii="仿宋_GB2312" w:hAnsi="宋体" w:eastAsia="仿宋_GB2312" w:cs="宋体"/>
          <w:b/>
          <w:color w:val="auto"/>
          <w:kern w:val="0"/>
          <w:sz w:val="36"/>
          <w:szCs w:val="36"/>
          <w:highlight w:val="none"/>
        </w:rPr>
      </w:pPr>
    </w:p>
    <w:p>
      <w:pPr>
        <w:pStyle w:val="2"/>
        <w:ind w:left="0" w:leftChars="0" w:firstLine="0" w:firstLineChars="0"/>
        <w:rPr>
          <w:rFonts w:hint="eastAsia"/>
          <w:highlight w:val="none"/>
        </w:rPr>
        <w:sectPr>
          <w:pgSz w:w="11906" w:h="16838"/>
          <w:pgMar w:top="1134" w:right="1134" w:bottom="1134" w:left="1134" w:header="851" w:footer="992" w:gutter="0"/>
          <w:cols w:space="720" w:num="1"/>
          <w:docGrid w:type="lines" w:linePitch="312" w:charSpace="0"/>
        </w:sectPr>
      </w:pPr>
    </w:p>
    <w:p>
      <w:pPr>
        <w:rPr>
          <w:rFonts w:hint="eastAsia"/>
          <w:highlight w:val="none"/>
        </w:rPr>
      </w:pPr>
    </w:p>
    <w:p>
      <w:pPr>
        <w:numPr>
          <w:ilvl w:val="0"/>
          <w:numId w:val="4"/>
        </w:numPr>
        <w:tabs>
          <w:tab w:val="left" w:pos="0"/>
        </w:tabs>
        <w:spacing w:line="440" w:lineRule="exact"/>
        <w:ind w:left="0" w:leftChars="0" w:firstLine="420" w:firstLineChars="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lang w:val="en-US" w:eastAsia="zh-CN"/>
        </w:rPr>
        <w:t>最高控制价</w:t>
      </w:r>
      <w:r>
        <w:rPr>
          <w:rFonts w:hint="eastAsia" w:ascii="仿宋_GB2312" w:hAnsi="宋体" w:eastAsia="仿宋_GB2312" w:cs="宋体"/>
          <w:b/>
          <w:color w:val="auto"/>
          <w:kern w:val="0"/>
          <w:sz w:val="36"/>
          <w:szCs w:val="36"/>
          <w:highlight w:val="none"/>
        </w:rPr>
        <w:t>工程量清单</w:t>
      </w:r>
    </w:p>
    <w:p>
      <w:pPr>
        <w:pStyle w:val="2"/>
        <w:rPr>
          <w:rFonts w:hint="eastAsia" w:ascii="仿宋_GB2312" w:hAnsi="宋体" w:eastAsia="仿宋_GB2312" w:cs="宋体"/>
          <w:b/>
          <w:color w:val="auto"/>
          <w:kern w:val="0"/>
          <w:sz w:val="36"/>
          <w:szCs w:val="36"/>
          <w:highlight w:val="none"/>
          <w:lang w:eastAsia="zh-CN"/>
        </w:rPr>
      </w:pPr>
      <w:r>
        <w:rPr>
          <w:rFonts w:hint="eastAsia" w:ascii="仿宋_GB2312" w:hAnsi="宋体" w:eastAsia="仿宋_GB2312" w:cs="宋体"/>
          <w:b/>
          <w:color w:val="auto"/>
          <w:kern w:val="0"/>
          <w:sz w:val="36"/>
          <w:szCs w:val="36"/>
          <w:highlight w:val="none"/>
          <w:lang w:eastAsia="zh-CN"/>
        </w:rPr>
        <w:t>详见附表</w:t>
      </w: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ind w:left="0" w:leftChars="0" w:firstLine="0" w:firstLineChars="0"/>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rPr>
          <w:rFonts w:hint="eastAsia" w:ascii="仿宋_GB2312" w:hAnsi="宋体" w:eastAsia="仿宋_GB2312" w:cs="宋体"/>
          <w:b/>
          <w:color w:val="auto"/>
          <w:kern w:val="0"/>
          <w:sz w:val="36"/>
          <w:szCs w:val="36"/>
          <w:highlight w:val="none"/>
        </w:rPr>
      </w:pPr>
    </w:p>
    <w:p>
      <w:pPr>
        <w:pStyle w:val="2"/>
        <w:numPr>
          <w:ilvl w:val="0"/>
          <w:numId w:val="0"/>
        </w:numPr>
        <w:ind w:left="420" w:leftChars="0"/>
        <w:rPr>
          <w:rFonts w:hint="eastAsia"/>
          <w:highlight w:val="none"/>
        </w:rPr>
        <w:sectPr>
          <w:pgSz w:w="16838" w:h="11906" w:orient="landscape"/>
          <w:pgMar w:top="1134" w:right="1134" w:bottom="1134" w:left="1134" w:header="851" w:footer="992" w:gutter="0"/>
          <w:cols w:space="720" w:num="1"/>
          <w:docGrid w:type="lines" w:linePitch="312" w:charSpace="0"/>
        </w:sectPr>
      </w:pPr>
    </w:p>
    <w:p>
      <w:pPr>
        <w:pStyle w:val="2"/>
        <w:numPr>
          <w:ilvl w:val="0"/>
          <w:numId w:val="0"/>
        </w:numPr>
        <w:ind w:left="420" w:leftChars="0"/>
        <w:rPr>
          <w:rFonts w:hint="eastAsia"/>
          <w:highlight w:val="none"/>
        </w:rPr>
      </w:pPr>
    </w:p>
    <w:p>
      <w:pPr>
        <w:jc w:val="center"/>
        <w:rPr>
          <w:rFonts w:hint="eastAsia" w:ascii="宋体" w:hAnsi="宋体" w:cs="Arial"/>
          <w:b/>
          <w:bCs/>
          <w:kern w:val="0"/>
          <w:sz w:val="36"/>
          <w:szCs w:val="36"/>
          <w:highlight w:val="none"/>
        </w:rPr>
      </w:pPr>
      <w:r>
        <w:rPr>
          <w:rFonts w:hint="eastAsia" w:ascii="宋体" w:hAnsi="宋体" w:cs="Arial"/>
          <w:b/>
          <w:bCs/>
          <w:kern w:val="0"/>
          <w:sz w:val="36"/>
          <w:szCs w:val="36"/>
          <w:highlight w:val="none"/>
          <w:lang w:val="en-US" w:eastAsia="zh-CN"/>
        </w:rPr>
        <w:t>最高控制价</w:t>
      </w: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hint="eastAsia"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1、除非</w:t>
      </w:r>
      <w:r>
        <w:rPr>
          <w:sz w:val="24"/>
          <w:highlight w:val="none"/>
        </w:rPr>
        <w:t>合同另有</w:t>
      </w:r>
      <w:r>
        <w:rPr>
          <w:rFonts w:hint="eastAsia"/>
          <w:sz w:val="24"/>
          <w:highlight w:val="none"/>
        </w:rPr>
        <w:t>规定</w:t>
      </w:r>
      <w:r>
        <w:rPr>
          <w:sz w:val="24"/>
          <w:highlight w:val="none"/>
        </w:rPr>
        <w:t>，工程量清单报价应包含为实施和完成本工程实体所需的所有费用，包括劳务、材料（</w:t>
      </w:r>
      <w:r>
        <w:rPr>
          <w:rFonts w:hint="eastAsia"/>
          <w:sz w:val="24"/>
          <w:highlight w:val="none"/>
        </w:rPr>
        <w:t>除采购</w:t>
      </w:r>
      <w:r>
        <w:rPr>
          <w:sz w:val="24"/>
          <w:highlight w:val="none"/>
        </w:rPr>
        <w:t>人提供材料外）</w:t>
      </w:r>
      <w:r>
        <w:rPr>
          <w:rFonts w:hint="eastAsia"/>
          <w:sz w:val="24"/>
          <w:highlight w:val="none"/>
        </w:rPr>
        <w:t>、</w:t>
      </w:r>
      <w:r>
        <w:rPr>
          <w:sz w:val="24"/>
          <w:highlight w:val="none"/>
        </w:rPr>
        <w:t>机械设备、质检（</w:t>
      </w:r>
      <w:r>
        <w:rPr>
          <w:rFonts w:hint="eastAsia"/>
          <w:sz w:val="24"/>
          <w:highlight w:val="none"/>
        </w:rPr>
        <w:t>自检</w:t>
      </w:r>
      <w:r>
        <w:rPr>
          <w:sz w:val="24"/>
          <w:highlight w:val="none"/>
        </w:rPr>
        <w:t>）</w:t>
      </w:r>
      <w:r>
        <w:rPr>
          <w:rFonts w:hint="eastAsia"/>
          <w:sz w:val="24"/>
          <w:highlight w:val="none"/>
        </w:rPr>
        <w:t>、</w:t>
      </w:r>
      <w:r>
        <w:rPr>
          <w:sz w:val="24"/>
          <w:highlight w:val="none"/>
        </w:rPr>
        <w:t>安全、缺陷修复、安全布控、管理、驻地建设、保险、利润、税费等</w:t>
      </w:r>
      <w:r>
        <w:rPr>
          <w:rFonts w:hint="eastAsia"/>
          <w:sz w:val="24"/>
          <w:highlight w:val="none"/>
        </w:rPr>
        <w:t>费用</w:t>
      </w:r>
      <w:r>
        <w:rPr>
          <w:sz w:val="24"/>
          <w:highlight w:val="none"/>
        </w:rPr>
        <w:t>及合同明示或暗示的所有责任、义务和一般风险</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2</w:t>
      </w: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eastAsia="宋体"/>
          <w:sz w:val="24"/>
          <w:highlight w:val="none"/>
          <w:lang w:eastAsia="zh-CN"/>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w:t>
      </w:r>
      <w:r>
        <w:rPr>
          <w:rFonts w:hint="eastAsia"/>
          <w:sz w:val="24"/>
          <w:highlight w:val="none"/>
          <w:lang w:eastAsia="zh-CN"/>
        </w:rPr>
        <w:t>价或总价之中。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0" w:firstLineChars="200"/>
        <w:jc w:val="left"/>
        <w:rPr>
          <w:sz w:val="24"/>
          <w:highlight w:val="none"/>
        </w:rPr>
        <w:sectPr>
          <w:pgSz w:w="11906" w:h="16838"/>
          <w:pgMar w:top="1134" w:right="1134" w:bottom="1134" w:left="1134" w:header="851" w:footer="992" w:gutter="0"/>
          <w:cols w:space="720" w:num="1"/>
          <w:docGrid w:type="lines" w:linePitch="312" w:charSpace="0"/>
        </w:sectPr>
      </w:pPr>
      <w:r>
        <w:rPr>
          <w:sz w:val="24"/>
          <w:highlight w:val="none"/>
        </w:rPr>
        <w:t>10、本项目工程量清单报价中税金统一按</w:t>
      </w:r>
      <w:r>
        <w:rPr>
          <w:rFonts w:hint="eastAsia"/>
          <w:sz w:val="24"/>
          <w:highlight w:val="none"/>
          <w:lang w:val="en-US" w:eastAsia="zh-CN"/>
        </w:rPr>
        <w:t>9</w:t>
      </w:r>
      <w:r>
        <w:rPr>
          <w:sz w:val="24"/>
          <w:highlight w:val="none"/>
        </w:rPr>
        <w:t>%计取，最终报价总价必须包含税金部分，否则按</w:t>
      </w:r>
      <w:r>
        <w:rPr>
          <w:rFonts w:hint="eastAsia"/>
          <w:sz w:val="24"/>
          <w:highlight w:val="none"/>
        </w:rPr>
        <w:t>否决报价</w:t>
      </w:r>
      <w:r>
        <w:rPr>
          <w:sz w:val="24"/>
          <w:highlight w:val="none"/>
        </w:rPr>
        <w:t>处理。结算时若成交人为一般纳税人按9%税金进行结算，若成交人为小规模纳税人或成交人按简易征收程序办理可抵扣的增值税专用发票的则按3%进行</w:t>
      </w:r>
    </w:p>
    <w:p>
      <w:pPr>
        <w:numPr>
          <w:ilvl w:val="0"/>
          <w:numId w:val="0"/>
        </w:num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pStyle w:val="2"/>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r>
        <w:rPr>
          <w:rFonts w:hint="eastAsia" w:ascii="仿宋_GB2312" w:hAnsi="仿宋_GB2312" w:eastAsia="仿宋_GB2312" w:cs="仿宋_GB2312"/>
          <w:sz w:val="28"/>
          <w:szCs w:val="28"/>
          <w:highlight w:val="none"/>
          <w:lang w:val="en-US" w:eastAsia="zh-CN"/>
        </w:rPr>
        <w:t>格式</w:t>
      </w:r>
      <w:r>
        <w:rPr>
          <w:rFonts w:hint="eastAsia" w:ascii="仿宋_GB2312" w:hAnsi="仿宋_GB2312" w:eastAsia="仿宋_GB2312" w:cs="仿宋_GB2312"/>
          <w:sz w:val="28"/>
          <w:szCs w:val="28"/>
          <w:highlight w:val="none"/>
        </w:rPr>
        <w:t>)</w:t>
      </w:r>
    </w:p>
    <w:p>
      <w:pPr>
        <w:pStyle w:val="2"/>
        <w:ind w:left="0" w:leftChars="0" w:firstLine="0" w:firstLineChars="0"/>
        <w:jc w:val="center"/>
        <w:rPr>
          <w:rFonts w:hint="eastAsia" w:eastAsia="仿宋_GB2312"/>
          <w:highlight w:val="none"/>
          <w:lang w:eastAsia="zh-CN"/>
        </w:rPr>
      </w:pPr>
      <w:r>
        <w:rPr>
          <w:rFonts w:hint="eastAsia" w:ascii="仿宋_GB2312" w:hAnsi="宋体" w:eastAsia="仿宋_GB2312"/>
          <w:b/>
          <w:sz w:val="32"/>
          <w:szCs w:val="32"/>
          <w:highlight w:val="none"/>
          <w:lang w:val="en-US" w:eastAsia="zh-CN"/>
        </w:rPr>
        <w:t>1</w:t>
      </w:r>
      <w:r>
        <w:rPr>
          <w:rFonts w:hint="eastAsia" w:ascii="仿宋_GB2312" w:hAnsi="宋体" w:eastAsia="仿宋_GB2312"/>
          <w:b/>
          <w:sz w:val="32"/>
          <w:szCs w:val="32"/>
          <w:highlight w:val="none"/>
        </w:rPr>
        <w:t>、法定代表人身份证明书或授权委托书</w:t>
      </w:r>
    </w:p>
    <w:p>
      <w:pPr>
        <w:tabs>
          <w:tab w:val="left" w:pos="0"/>
          <w:tab w:val="left" w:pos="700"/>
          <w:tab w:val="left" w:pos="800"/>
          <w:tab w:val="left" w:pos="993"/>
          <w:tab w:val="left" w:pos="1134"/>
        </w:tabs>
        <w:snapToGrid w:val="0"/>
        <w:spacing w:after="120" w:line="600" w:lineRule="exact"/>
        <w:jc w:val="center"/>
        <w:rPr>
          <w:rFonts w:hint="eastAsia" w:ascii="仿宋_GB2312" w:eastAsia="仿宋_GB2312"/>
          <w:b/>
          <w:sz w:val="28"/>
          <w:szCs w:val="28"/>
          <w:highlight w:val="none"/>
        </w:rPr>
      </w:pPr>
      <w:r>
        <w:rPr>
          <w:rFonts w:hint="eastAsia" w:ascii="仿宋_GB2312" w:eastAsia="仿宋_GB2312"/>
          <w:b/>
          <w:bCs w:val="0"/>
          <w:sz w:val="28"/>
          <w:szCs w:val="28"/>
          <w:highlight w:val="none"/>
          <w:lang w:val="en-US" w:eastAsia="zh-CN"/>
        </w:rPr>
        <w:t>1.1</w:t>
      </w:r>
      <w:r>
        <w:rPr>
          <w:rFonts w:hint="eastAsia" w:ascii="仿宋_GB2312" w:eastAsia="仿宋_GB2312"/>
          <w:b/>
          <w:bCs w:val="0"/>
          <w:sz w:val="28"/>
          <w:szCs w:val="28"/>
          <w:highlight w:val="none"/>
        </w:rPr>
        <w:t>法定代</w:t>
      </w:r>
      <w:r>
        <w:rPr>
          <w:rFonts w:hint="eastAsia" w:ascii="仿宋_GB2312" w:eastAsia="仿宋_GB2312"/>
          <w:b/>
          <w:sz w:val="28"/>
          <w:szCs w:val="28"/>
          <w:highlight w:val="none"/>
        </w:rPr>
        <w:t>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hAnsi="宋体" w:eastAsia="仿宋_GB2312"/>
          <w:b/>
          <w:sz w:val="30"/>
          <w:szCs w:val="30"/>
          <w:highlight w:val="none"/>
        </w:rPr>
      </w:pPr>
      <w:r>
        <w:rPr>
          <w:rFonts w:hint="eastAsia" w:ascii="仿宋_GB2312" w:eastAsia="仿宋_GB2312"/>
          <w:b/>
          <w:sz w:val="24"/>
          <w:szCs w:val="24"/>
          <w:highlight w:val="none"/>
        </w:rPr>
        <w:t>2.应附法定代表人身份证复印件（盖企业公章）。</w:t>
      </w:r>
    </w:p>
    <w:p>
      <w:pPr>
        <w:pStyle w:val="2"/>
        <w:rPr>
          <w:rFonts w:hint="eastAsia" w:ascii="仿宋_GB2312" w:hAnsi="宋体" w:eastAsia="仿宋_GB2312"/>
          <w:b/>
          <w:sz w:val="30"/>
          <w:szCs w:val="30"/>
          <w:highlight w:val="none"/>
        </w:rPr>
      </w:pPr>
    </w:p>
    <w:p>
      <w:pPr>
        <w:pStyle w:val="2"/>
        <w:rPr>
          <w:rFonts w:hint="eastAsia"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1.2</w:t>
      </w: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szCs w:val="24"/>
          <w:highlight w:val="none"/>
          <w:u w:val="single"/>
        </w:rPr>
        <w:t>福泉高速公路沿线绿化提升项目</w:t>
      </w:r>
      <w:r>
        <w:rPr>
          <w:rFonts w:hint="eastAsia" w:ascii="仿宋_GB2312" w:eastAsia="仿宋_GB2312"/>
          <w:sz w:val="24"/>
          <w:szCs w:val="24"/>
          <w:highlight w:val="none"/>
          <w:u w:val="single"/>
          <w:lang w:val="en-US" w:eastAsia="zh-CN"/>
        </w:rPr>
        <w:t>-文创雕塑</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600" w:lineRule="exact"/>
        <w:ind w:left="0" w:leftChars="0" w:firstLine="0" w:firstLineChars="0"/>
        <w:jc w:val="left"/>
        <w:rPr>
          <w:rFonts w:hint="eastAsia"/>
          <w:b/>
          <w:bCs/>
          <w:highlight w:val="none"/>
        </w:rPr>
      </w:pPr>
      <w:r>
        <w:rPr>
          <w:rFonts w:hint="eastAsia"/>
          <w:b/>
          <w:bCs/>
          <w:highlight w:val="none"/>
        </w:rPr>
        <w:t>注：</w:t>
      </w:r>
    </w:p>
    <w:p>
      <w:pPr>
        <w:pStyle w:val="5"/>
        <w:numPr>
          <w:ilvl w:val="0"/>
          <w:numId w:val="5"/>
        </w:numPr>
        <w:spacing w:line="600" w:lineRule="exact"/>
        <w:ind w:left="0" w:leftChars="0" w:firstLine="422" w:firstLineChars="200"/>
        <w:jc w:val="left"/>
        <w:rPr>
          <w:rFonts w:hint="eastAsia"/>
          <w:b/>
          <w:bCs/>
          <w:highlight w:val="none"/>
        </w:rPr>
      </w:pPr>
      <w:r>
        <w:rPr>
          <w:rFonts w:hint="eastAsia"/>
          <w:b/>
          <w:bCs/>
          <w:highlight w:val="none"/>
        </w:rPr>
        <w:t>法定代表人和委托代理人必须在授权书上亲笔签名，不得使用印章、签名章、复印件或其他电子制版签名；</w:t>
      </w:r>
    </w:p>
    <w:p>
      <w:pPr>
        <w:pStyle w:val="5"/>
        <w:numPr>
          <w:ilvl w:val="0"/>
          <w:numId w:val="5"/>
        </w:numPr>
        <w:spacing w:line="600" w:lineRule="exact"/>
        <w:ind w:left="0" w:leftChars="0" w:firstLine="422" w:firstLineChars="200"/>
        <w:jc w:val="left"/>
        <w:rPr>
          <w:rFonts w:hint="eastAsia"/>
          <w:b/>
          <w:bCs/>
          <w:highlight w:val="none"/>
        </w:rPr>
      </w:pPr>
      <w:r>
        <w:rPr>
          <w:rFonts w:hint="eastAsia"/>
          <w:b/>
          <w:bCs/>
          <w:highlight w:val="none"/>
        </w:rPr>
        <w:t>授权书后均应附法定代表人和委托代理人身份证复印件（盖企业公章）。</w:t>
      </w:r>
    </w:p>
    <w:p>
      <w:pPr>
        <w:pStyle w:val="5"/>
        <w:numPr>
          <w:ilvl w:val="0"/>
          <w:numId w:val="0"/>
        </w:numPr>
        <w:spacing w:line="600" w:lineRule="exact"/>
        <w:jc w:val="left"/>
        <w:rPr>
          <w:rFonts w:hint="eastAsia"/>
          <w:b/>
          <w:bCs/>
          <w:highlight w:val="none"/>
        </w:rPr>
      </w:pPr>
    </w:p>
    <w:p>
      <w:pPr>
        <w:spacing w:line="500" w:lineRule="exact"/>
        <w:jc w:val="left"/>
        <w:outlineLvl w:val="1"/>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jc w:val="both"/>
        <w:rPr>
          <w:rFonts w:hint="eastAsia" w:ascii="仿宋_GB2312" w:hAnsi="仿宋_GB2312" w:eastAsia="仿宋_GB2312" w:cs="仿宋_GB2312"/>
          <w:bCs/>
          <w:sz w:val="32"/>
          <w:szCs w:val="32"/>
          <w:highlight w:val="none"/>
        </w:rPr>
      </w:pPr>
    </w:p>
    <w:p>
      <w:pPr>
        <w:spacing w:line="120" w:lineRule="auto"/>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采购人名称：福州川达公路养护工程有限公司</w:t>
      </w:r>
    </w:p>
    <w:p>
      <w:pPr>
        <w:spacing w:line="12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福建省高速公路养护工程有限公司项目经理部一</w:t>
      </w:r>
    </w:p>
    <w:p>
      <w:pPr>
        <w:spacing w:line="120" w:lineRule="auto"/>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养护大楼旁（福州高速交警3大队后）2层小楼</w:t>
      </w: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both"/>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hint="eastAsia" w:ascii="仿宋_GB2312" w:hAnsi="仿宋_GB2312" w:eastAsia="仿宋_GB2312" w:cs="仿宋_GB2312"/>
          <w:bCs/>
          <w:sz w:val="30"/>
          <w:szCs w:val="30"/>
          <w:highlight w:val="none"/>
          <w:u w:val="single"/>
        </w:rPr>
      </w:pPr>
    </w:p>
    <w:p>
      <w:pPr>
        <w:jc w:val="center"/>
        <w:rPr>
          <w:rFonts w:hint="eastAsia" w:ascii="仿宋_GB2312" w:hAnsi="仿宋_GB2312" w:eastAsia="仿宋_GB2312" w:cs="仿宋_GB2312"/>
          <w:bCs/>
          <w:sz w:val="30"/>
          <w:szCs w:val="30"/>
          <w:highlight w:val="none"/>
          <w:u w:val="single"/>
        </w:rPr>
      </w:pPr>
    </w:p>
    <w:p>
      <w:pPr>
        <w:pStyle w:val="2"/>
        <w:rPr>
          <w:rFonts w:hint="eastAsia"/>
          <w:highlight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r>
        <w:rPr>
          <w:rFonts w:hint="eastAsia" w:ascii="仿宋_GB2312" w:hAnsi="仿宋_GB2312" w:eastAsia="仿宋_GB2312" w:cs="仿宋_GB2312"/>
          <w:bCs/>
          <w:sz w:val="30"/>
          <w:szCs w:val="30"/>
          <w:highlight w:val="none"/>
          <w:u w:val="none"/>
        </w:rPr>
        <w:t>报价文件</w:t>
      </w:r>
      <w:r>
        <w:rPr>
          <w:rFonts w:hint="eastAsia" w:ascii="仿宋_GB2312" w:hAnsi="仿宋_GB2312" w:eastAsia="仿宋_GB2312" w:cs="仿宋_GB2312"/>
          <w:bCs/>
          <w:sz w:val="30"/>
          <w:szCs w:val="30"/>
          <w:highlight w:val="none"/>
          <w:u w:val="none"/>
        </w:rPr>
        <w:t>在</w:t>
      </w:r>
      <w:r>
        <w:rPr>
          <w:rFonts w:hint="eastAsia" w:ascii="宋体" w:hAnsi="宋体" w:cs="仿宋_GB2312"/>
          <w:sz w:val="28"/>
          <w:szCs w:val="28"/>
          <w:highlight w:val="none"/>
          <w:u w:val="single"/>
          <w:lang w:val="en-US" w:eastAsia="zh-CN"/>
        </w:rPr>
        <w:t>2022</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7</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7</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15时30</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u w:val="none"/>
        </w:rPr>
        <w:t>前不得开</w:t>
      </w:r>
      <w:r>
        <w:rPr>
          <w:rFonts w:hint="eastAsia" w:ascii="仿宋_GB2312" w:hAnsi="仿宋_GB2312" w:eastAsia="仿宋_GB2312" w:cs="仿宋_GB2312"/>
          <w:bCs/>
          <w:sz w:val="30"/>
          <w:szCs w:val="30"/>
          <w:highlight w:val="none"/>
          <w:u w:val="none"/>
        </w:rPr>
        <w:t>启</w:t>
      </w:r>
    </w:p>
    <w:p>
      <w:pPr>
        <w:pStyle w:val="2"/>
        <w:ind w:left="0" w:leftChars="0" w:firstLine="0" w:firstLineChars="0"/>
        <w:rPr>
          <w:rFonts w:hint="eastAsia"/>
          <w:highlight w:val="none"/>
        </w:rPr>
      </w:pPr>
    </w:p>
    <w:p>
      <w:pPr>
        <w:spacing w:line="500" w:lineRule="exact"/>
        <w:ind w:firstLine="560" w:firstLineChars="200"/>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rPr>
          <w:rFonts w:hint="eastAsia" w:ascii="宋体" w:hAnsi="宋体"/>
          <w:b/>
          <w:sz w:val="44"/>
          <w:szCs w:val="44"/>
          <w:highlight w:val="none"/>
        </w:rPr>
      </w:pPr>
    </w:p>
    <w:p>
      <w:pPr>
        <w:pStyle w:val="28"/>
        <w:spacing w:line="264" w:lineRule="auto"/>
        <w:rPr>
          <w:rFonts w:hint="eastAsia" w:hAnsi="宋体"/>
          <w:b w:val="0"/>
          <w:bCs/>
          <w:color w:val="FF0000"/>
          <w:sz w:val="48"/>
          <w:szCs w:val="48"/>
          <w:highlight w:val="none"/>
          <w:lang w:val="en-US" w:eastAsia="zh-CN"/>
        </w:rPr>
      </w:pPr>
      <w:r>
        <w:rPr>
          <w:rFonts w:hint="eastAsia" w:hAnsi="宋体"/>
          <w:b w:val="0"/>
          <w:bCs/>
          <w:color w:val="FF0000"/>
          <w:sz w:val="48"/>
          <w:szCs w:val="48"/>
          <w:highlight w:val="none"/>
          <w:lang w:val="en-US" w:eastAsia="zh-CN"/>
        </w:rPr>
        <w:t>福泉高速公路沿线绿化提升项目-文创雕塑</w:t>
      </w: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Ansi="宋体"/>
          <w:b w:val="0"/>
          <w:bCs/>
          <w:color w:val="FF0000"/>
          <w:sz w:val="48"/>
          <w:szCs w:val="48"/>
          <w:highlight w:val="none"/>
          <w:lang w:val="en-US" w:eastAsia="zh-CN"/>
        </w:rPr>
      </w:pPr>
    </w:p>
    <w:p>
      <w:pPr>
        <w:pStyle w:val="7"/>
        <w:rPr>
          <w:rFonts w:hint="eastAsia"/>
          <w:highlight w:val="none"/>
        </w:rPr>
      </w:pPr>
    </w:p>
    <w:p>
      <w:pPr>
        <w:pStyle w:val="28"/>
        <w:spacing w:line="264" w:lineRule="auto"/>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hint="eastAsia" w:ascii="仿宋_GB2312" w:hAnsi="Times New Roman" w:eastAsia="仿宋_GB2312"/>
          <w:sz w:val="36"/>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28"/>
        <w:spacing w:line="264" w:lineRule="auto"/>
        <w:rPr>
          <w:rFonts w:hint="eastAsia"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ascii="Times New Roman" w:hAnsi="Times New Roman" w:eastAsia="仿宋"/>
          <w:b w:val="0"/>
          <w:bCs/>
          <w:sz w:val="28"/>
          <w:szCs w:val="28"/>
          <w:highlight w:val="none"/>
          <w:u w:val="single"/>
        </w:rPr>
        <w:t>___</w:t>
      </w:r>
      <w:r>
        <w:rPr>
          <w:rFonts w:hint="eastAsia" w:ascii="Times New Roman" w:hAnsi="Times New Roman" w:eastAsia="仿宋"/>
          <w:b w:val="0"/>
          <w:bCs/>
          <w:sz w:val="28"/>
          <w:szCs w:val="28"/>
          <w:highlight w:val="none"/>
          <w:u w:val="single"/>
          <w:lang w:val="en-US" w:eastAsia="zh-CN"/>
        </w:rPr>
        <w:t xml:space="preserve">        </w:t>
      </w:r>
      <w:r>
        <w:rPr>
          <w:rFonts w:ascii="Times New Roman" w:hAnsi="Times New Roman" w:eastAsia="仿宋"/>
          <w:b w:val="0"/>
          <w:bCs/>
          <w:sz w:val="28"/>
          <w:szCs w:val="28"/>
          <w:highlight w:val="none"/>
          <w:u w:val="single"/>
        </w:rPr>
        <w:t>___</w:t>
      </w:r>
      <w:r>
        <w:rPr>
          <w:rFonts w:hint="eastAsia" w:ascii="Times New Roman" w:hAnsi="Times New Roman" w:eastAsia="仿宋"/>
          <w:b w:val="0"/>
          <w:bCs/>
          <w:sz w:val="28"/>
          <w:szCs w:val="28"/>
          <w:highlight w:val="none"/>
          <w:u w:val="single"/>
          <w:lang w:val="en-US" w:eastAsia="zh-CN"/>
        </w:rPr>
        <w:t xml:space="preserve">           </w:t>
      </w:r>
      <w:r>
        <w:rPr>
          <w:rFonts w:ascii="Times New Roman" w:hAnsi="仿宋" w:eastAsia="仿宋"/>
          <w:b/>
          <w:sz w:val="28"/>
          <w:szCs w:val="28"/>
          <w:highlight w:val="none"/>
          <w:u w:val="single"/>
        </w:rPr>
        <w:t>（盖单位公章）</w:t>
      </w:r>
      <w:r>
        <w:rPr>
          <w:rFonts w:hint="eastAsia" w:ascii="Times New Roman" w:hAnsi="Times New Roman" w:eastAsia="仿宋"/>
          <w:b w:val="0"/>
          <w:bCs/>
          <w:sz w:val="28"/>
          <w:szCs w:val="28"/>
          <w:highlight w:val="none"/>
          <w:u w:val="single"/>
          <w:lang w:val="en-US" w:eastAsia="zh-CN"/>
        </w:rPr>
        <w:t xml:space="preserve"> </w:t>
      </w:r>
      <w:r>
        <w:rPr>
          <w:rFonts w:ascii="Times New Roman" w:hAnsi="Times New Roman" w:eastAsia="仿宋"/>
          <w:b w:val="0"/>
          <w:bCs/>
          <w:sz w:val="28"/>
          <w:szCs w:val="28"/>
          <w:highlight w:val="none"/>
          <w:u w:val="single"/>
        </w:rPr>
        <w:t>_</w:t>
      </w:r>
      <w:r>
        <w:rPr>
          <w:rFonts w:ascii="Times New Roman" w:hAnsi="Times New Roman" w:eastAsia="仿宋"/>
          <w:b/>
          <w:sz w:val="28"/>
          <w:szCs w:val="28"/>
          <w:highlight w:val="none"/>
          <w:u w:val="none"/>
        </w:rPr>
        <w:t xml:space="preserve"> </w:t>
      </w:r>
    </w:p>
    <w:p>
      <w:pPr>
        <w:pStyle w:val="28"/>
        <w:spacing w:before="240" w:after="240" w:line="240" w:lineRule="auto"/>
        <w:ind w:firstLine="562" w:firstLineChars="200"/>
        <w:rPr>
          <w:rFonts w:hint="eastAsia" w:ascii="Times New Roman" w:hAnsi="Times New Roman" w:eastAsia="仿宋"/>
          <w:b w:val="0"/>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 w:val="0"/>
          <w:bCs/>
          <w:sz w:val="28"/>
          <w:szCs w:val="28"/>
          <w:highlight w:val="none"/>
          <w:u w:val="single"/>
        </w:rPr>
        <w:t xml:space="preserve"> </w:t>
      </w:r>
      <w:r>
        <w:rPr>
          <w:rFonts w:hint="eastAsia" w:ascii="Times New Roman" w:hAnsi="仿宋" w:eastAsia="仿宋"/>
          <w:b w:val="0"/>
          <w:bCs/>
          <w:sz w:val="28"/>
          <w:szCs w:val="28"/>
          <w:highlight w:val="none"/>
          <w:u w:val="single"/>
          <w:lang w:val="en-US" w:eastAsia="zh-CN"/>
        </w:rPr>
        <w:t xml:space="preserve">        </w:t>
      </w:r>
      <w:r>
        <w:rPr>
          <w:rFonts w:ascii="Times New Roman" w:hAnsi="仿宋" w:eastAsia="仿宋"/>
          <w:b w:val="0"/>
          <w:bCs/>
          <w:sz w:val="28"/>
          <w:szCs w:val="28"/>
          <w:highlight w:val="none"/>
          <w:u w:val="single"/>
        </w:rPr>
        <w:t>（签字）</w:t>
      </w:r>
      <w:r>
        <w:rPr>
          <w:rFonts w:hint="eastAsia" w:ascii="Times New Roman" w:hAnsi="仿宋" w:eastAsia="仿宋"/>
          <w:b w:val="0"/>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hint="eastAsia"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7"/>
        <w:spacing w:line="900" w:lineRule="exact"/>
        <w:rPr>
          <w:rFonts w:hint="eastAsia"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报价函</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法定代表人身份证明书或授权委托书</w:t>
      </w:r>
    </w:p>
    <w:p>
      <w:pPr>
        <w:spacing w:line="90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营业执照（彩打）</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二次深化设计及说明文件</w:t>
      </w:r>
    </w:p>
    <w:p>
      <w:pPr>
        <w:spacing w:line="90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其他资料</w:t>
      </w:r>
    </w:p>
    <w:p>
      <w:pPr>
        <w:spacing w:line="900" w:lineRule="exact"/>
        <w:ind w:firstLine="640" w:firstLineChars="200"/>
        <w:rPr>
          <w:rFonts w:hint="eastAsia"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outlineLvl w:val="1"/>
        <w:rPr>
          <w:rFonts w:hint="eastAsia" w:ascii="仿宋_GB2312" w:hAnsi="宋体" w:eastAsia="仿宋_GB2312"/>
          <w:b/>
          <w:sz w:val="36"/>
          <w:szCs w:val="36"/>
          <w:highlight w:val="none"/>
        </w:rPr>
      </w:pPr>
    </w:p>
    <w:p>
      <w:pPr>
        <w:tabs>
          <w:tab w:val="left" w:pos="0"/>
          <w:tab w:val="left" w:pos="993"/>
          <w:tab w:val="left" w:pos="1134"/>
        </w:tabs>
        <w:snapToGrid w:val="0"/>
        <w:spacing w:before="240" w:after="240" w:line="600" w:lineRule="exact"/>
        <w:ind w:left="720"/>
        <w:outlineLvl w:val="1"/>
        <w:rPr>
          <w:rFonts w:ascii="仿宋_GB2312" w:hAnsi="宋体" w:eastAsia="仿宋_GB2312"/>
          <w:b/>
          <w:sz w:val="36"/>
          <w:szCs w:val="36"/>
          <w:highlight w:val="none"/>
        </w:rPr>
      </w:pPr>
    </w:p>
    <w:p>
      <w:pPr>
        <w:tabs>
          <w:tab w:val="left" w:pos="0"/>
          <w:tab w:val="left" w:pos="993"/>
          <w:tab w:val="left" w:pos="1134"/>
        </w:tabs>
        <w:snapToGrid w:val="0"/>
        <w:spacing w:before="240" w:after="240" w:line="600" w:lineRule="exact"/>
        <w:ind w:left="720"/>
        <w:outlineLvl w:val="1"/>
        <w:rPr>
          <w:rFonts w:ascii="仿宋_GB2312" w:hAnsi="宋体" w:eastAsia="仿宋_GB2312"/>
          <w:b/>
          <w:sz w:val="36"/>
          <w:szCs w:val="36"/>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hint="eastAsia" w:ascii="仿宋_GB2312" w:hAnsi="宋体" w:eastAsia="仿宋_GB2312"/>
          <w:b/>
          <w:sz w:val="36"/>
          <w:szCs w:val="36"/>
          <w:highlight w:val="none"/>
        </w:rPr>
      </w:pPr>
    </w:p>
    <w:p>
      <w:pPr>
        <w:tabs>
          <w:tab w:val="left" w:pos="0"/>
          <w:tab w:val="left" w:pos="567"/>
          <w:tab w:val="left" w:pos="993"/>
          <w:tab w:val="left" w:pos="1134"/>
        </w:tabs>
        <w:snapToGrid w:val="0"/>
        <w:spacing w:line="420" w:lineRule="exact"/>
        <w:rPr>
          <w:rFonts w:hint="eastAsia" w:ascii="仿宋_GB2312" w:eastAsia="仿宋_GB2312"/>
          <w:b/>
          <w:sz w:val="24"/>
          <w:highlight w:val="none"/>
          <w:u w:val="single"/>
        </w:rPr>
      </w:pPr>
      <w:r>
        <w:rPr>
          <w:rFonts w:hint="eastAsia" w:ascii="仿宋_GB2312" w:eastAsia="仿宋_GB2312"/>
          <w:b/>
          <w:sz w:val="24"/>
          <w:highlight w:val="none"/>
        </w:rPr>
        <w:t>致：</w:t>
      </w:r>
      <w:r>
        <w:rPr>
          <w:rFonts w:hint="eastAsia" w:ascii="仿宋_GB2312" w:eastAsia="仿宋_GB2312"/>
          <w:b/>
          <w:sz w:val="24"/>
          <w:highlight w:val="none"/>
          <w:u w:val="single"/>
        </w:rPr>
        <w:t>福州川达公路养护工程有限公司</w:t>
      </w:r>
    </w:p>
    <w:p>
      <w:pPr>
        <w:tabs>
          <w:tab w:val="left" w:pos="0"/>
          <w:tab w:val="left" w:pos="567"/>
          <w:tab w:val="left" w:pos="993"/>
          <w:tab w:val="left" w:pos="1134"/>
        </w:tabs>
        <w:snapToGrid w:val="0"/>
        <w:spacing w:line="420" w:lineRule="exact"/>
        <w:ind w:firstLine="482" w:firstLineChars="200"/>
        <w:rPr>
          <w:rFonts w:hint="eastAsia" w:ascii="仿宋_GB2312" w:eastAsia="仿宋_GB2312"/>
          <w:b/>
          <w:sz w:val="24"/>
          <w:highlight w:val="none"/>
        </w:rPr>
      </w:pPr>
      <w:r>
        <w:rPr>
          <w:rFonts w:hint="eastAsia" w:ascii="仿宋_GB2312" w:eastAsia="仿宋_GB2312"/>
          <w:b/>
          <w:sz w:val="24"/>
          <w:highlight w:val="none"/>
          <w:u w:val="single"/>
        </w:rPr>
        <w:t>福建省高速公路养护工程有限公司项目经理部一</w:t>
      </w:r>
      <w:r>
        <w:rPr>
          <w:rFonts w:hint="eastAsia" w:ascii="仿宋_GB2312" w:eastAsia="仿宋_GB2312"/>
          <w:sz w:val="24"/>
          <w:highlight w:val="none"/>
        </w:rPr>
        <w:t>：</w:t>
      </w:r>
    </w:p>
    <w:p>
      <w:pPr>
        <w:numPr>
          <w:ilvl w:val="0"/>
          <w:numId w:val="6"/>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rPr>
        <w:t>福泉高速公路沿线绿化提升项目-文创雕塑</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w:t>
      </w:r>
      <w:r>
        <w:rPr>
          <w:rFonts w:hint="eastAsia" w:ascii="仿宋_GB2312" w:eastAsia="仿宋_GB2312"/>
          <w:sz w:val="24"/>
          <w:highlight w:val="none"/>
        </w:rPr>
        <w:t>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hAnsi="Times New Roman" w:eastAsia="仿宋_GB2312" w:cs="Times New Roman"/>
          <w:kern w:val="2"/>
          <w:sz w:val="24"/>
          <w:szCs w:val="24"/>
          <w:highlight w:val="none"/>
          <w:lang w:val="en-US" w:eastAsia="zh-CN" w:bidi="ar-SA"/>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rPr>
        <w:t>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val="en-US" w:eastAsia="zh-CN"/>
        </w:rPr>
        <w:t>2022年7月31日前完成</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4、我方承诺：一旦我方成交，</w:t>
      </w:r>
      <w:r>
        <w:rPr>
          <w:rFonts w:hint="eastAsia" w:ascii="仿宋_GB2312" w:eastAsia="仿宋_GB2312"/>
          <w:sz w:val="24"/>
          <w:highlight w:val="none"/>
        </w:rPr>
        <w:t>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（负责人）作为本工程的负责人。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5"/>
        <w:spacing w:line="500" w:lineRule="exact"/>
        <w:ind w:left="360" w:firstLine="397"/>
        <w:rPr>
          <w:rFonts w:hint="eastAsia" w:ascii="仿宋_GB2312" w:eastAsia="仿宋_GB2312"/>
          <w:sz w:val="24"/>
          <w:szCs w:val="24"/>
          <w:highlight w:val="none"/>
        </w:rPr>
      </w:pPr>
      <w:r>
        <w:rPr>
          <w:rFonts w:hint="eastAsia" w:ascii="仿宋_GB2312" w:eastAsia="仿宋_GB2312"/>
          <w:sz w:val="24"/>
          <w:szCs w:val="24"/>
          <w:highlight w:val="none"/>
        </w:rPr>
        <w:t xml:space="preserve"> </w:t>
      </w:r>
    </w:p>
    <w:p>
      <w:pPr>
        <w:pStyle w:val="5"/>
        <w:spacing w:line="500" w:lineRule="exact"/>
        <w:ind w:left="360" w:firstLine="40"/>
        <w:jc w:val="left"/>
        <w:rPr>
          <w:rFonts w:hint="eastAsia" w:ascii="仿宋_GB2312" w:eastAsia="仿宋_GB2312"/>
          <w:sz w:val="24"/>
          <w:szCs w:val="24"/>
          <w:highlight w:val="none"/>
        </w:rPr>
      </w:pPr>
      <w:r>
        <w:rPr>
          <w:rFonts w:hint="eastAsia" w:ascii="仿宋_GB2312" w:eastAsia="仿宋_GB2312"/>
          <w:sz w:val="24"/>
          <w:szCs w:val="24"/>
          <w:highlight w:val="none"/>
        </w:rPr>
        <w:t>单位法定代表人</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5"/>
        <w:spacing w:line="500" w:lineRule="exac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numPr>
          <w:ilvl w:val="0"/>
          <w:numId w:val="7"/>
        </w:numPr>
        <w:tabs>
          <w:tab w:val="left" w:pos="0"/>
        </w:tabs>
        <w:jc w:val="center"/>
        <w:outlineLvl w:val="0"/>
        <w:rPr>
          <w:rFonts w:hint="eastAsia"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p>
      <w:pPr>
        <w:tabs>
          <w:tab w:val="left" w:pos="0"/>
        </w:tabs>
        <w:spacing w:line="240" w:lineRule="exact"/>
        <w:outlineLvl w:val="0"/>
        <w:rPr>
          <w:rFonts w:hint="eastAsia" w:ascii="仿宋_GB2312" w:hAnsi="宋体" w:eastAsia="仿宋_GB2312" w:cs="宋体"/>
          <w:b/>
          <w:kern w:val="0"/>
          <w:sz w:val="32"/>
          <w:szCs w:val="32"/>
          <w:highlight w:val="none"/>
          <w:lang w:eastAsia="zh-CN"/>
        </w:rPr>
      </w:pPr>
    </w:p>
    <w:p>
      <w:pPr>
        <w:tabs>
          <w:tab w:val="left" w:pos="0"/>
          <w:tab w:val="left" w:pos="993"/>
          <w:tab w:val="left" w:pos="1134"/>
        </w:tabs>
        <w:snapToGrid w:val="0"/>
        <w:spacing w:before="240" w:after="240"/>
        <w:outlineLvl w:val="1"/>
        <w:rPr>
          <w:rFonts w:hint="eastAsia" w:hAnsi="宋体"/>
          <w:b/>
          <w:bCs/>
          <w:kern w:val="0"/>
          <w:szCs w:val="21"/>
          <w:highlight w:val="none"/>
          <w:lang w:eastAsia="zh-CN"/>
        </w:rPr>
      </w:pPr>
      <w:r>
        <w:rPr>
          <w:rFonts w:hint="eastAsia" w:hAnsi="宋体"/>
          <w:b/>
          <w:bCs/>
          <w:kern w:val="0"/>
          <w:szCs w:val="21"/>
          <w:highlight w:val="none"/>
          <w:lang w:eastAsia="zh-CN"/>
        </w:rPr>
        <w:t>详见附表</w:t>
      </w: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rPr>
          <w:rFonts w:hint="eastAsia" w:hAnsi="宋体"/>
          <w:b/>
          <w:bCs/>
          <w:kern w:val="0"/>
          <w:szCs w:val="21"/>
          <w:highlight w:val="none"/>
          <w:lang w:eastAsia="zh-CN"/>
        </w:rPr>
      </w:pPr>
    </w:p>
    <w:p>
      <w:pPr>
        <w:pStyle w:val="2"/>
        <w:ind w:left="0" w:leftChars="0" w:firstLine="0" w:firstLineChars="0"/>
        <w:rPr>
          <w:rFonts w:hint="eastAsia" w:hAnsi="宋体"/>
          <w:b/>
          <w:bCs/>
          <w:kern w:val="0"/>
          <w:szCs w:val="21"/>
          <w:highlight w:val="none"/>
          <w:lang w:eastAsia="zh-CN"/>
        </w:rPr>
      </w:pPr>
    </w:p>
    <w:p>
      <w:pPr>
        <w:tabs>
          <w:tab w:val="left" w:pos="0"/>
          <w:tab w:val="left" w:pos="993"/>
          <w:tab w:val="left" w:pos="1134"/>
        </w:tabs>
        <w:snapToGrid w:val="0"/>
        <w:spacing w:before="240" w:after="240"/>
        <w:outlineLvl w:val="1"/>
        <w:rPr>
          <w:rFonts w:hAnsi="宋体"/>
          <w:kern w:val="0"/>
          <w:szCs w:val="21"/>
          <w:highlight w:val="none"/>
          <w:u w:val="single"/>
        </w:rPr>
      </w:pPr>
      <w:r>
        <w:rPr>
          <w:rFonts w:hint="eastAsia" w:hAnsi="宋体"/>
          <w:kern w:val="0"/>
          <w:szCs w:val="21"/>
          <w:highlight w:val="none"/>
        </w:rPr>
        <w:t>报价单位（盖章）：</w:t>
      </w:r>
      <w:r>
        <w:rPr>
          <w:rFonts w:hint="eastAsia" w:hAnsi="宋体"/>
          <w:kern w:val="0"/>
          <w:szCs w:val="21"/>
          <w:highlight w:val="none"/>
          <w:u w:val="single"/>
        </w:rPr>
        <w:t xml:space="preserve">                        </w:t>
      </w:r>
    </w:p>
    <w:p>
      <w:pPr>
        <w:tabs>
          <w:tab w:val="left" w:pos="0"/>
          <w:tab w:val="left" w:pos="993"/>
          <w:tab w:val="left" w:pos="1134"/>
        </w:tabs>
        <w:snapToGrid w:val="0"/>
        <w:spacing w:before="240" w:after="240"/>
        <w:jc w:val="left"/>
        <w:outlineLvl w:val="1"/>
        <w:rPr>
          <w:rFonts w:hAnsi="宋体"/>
          <w:kern w:val="0"/>
          <w:szCs w:val="21"/>
          <w:highlight w:val="none"/>
        </w:rPr>
      </w:pPr>
      <w:r>
        <w:rPr>
          <w:rFonts w:hint="eastAsia" w:hAnsi="宋体"/>
          <w:kern w:val="0"/>
          <w:szCs w:val="21"/>
          <w:highlight w:val="none"/>
        </w:rPr>
        <w:t>日期：   年   月    日</w:t>
      </w: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hint="eastAsia"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hint="eastAsia"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highlight w:val="none"/>
          <w:u w:val="single"/>
        </w:rPr>
        <w:t>福泉高速公路沿线绿化提升项目-文创雕塑</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360" w:lineRule="auto"/>
        <w:ind w:left="0" w:leftChars="0" w:firstLine="0" w:firstLineChars="0"/>
        <w:jc w:val="left"/>
        <w:rPr>
          <w:rFonts w:hint="eastAsia"/>
          <w:b/>
          <w:bCs/>
          <w:highlight w:val="none"/>
        </w:rPr>
      </w:pPr>
      <w:r>
        <w:rPr>
          <w:rFonts w:hint="eastAsia"/>
          <w:b/>
          <w:bCs/>
          <w:highlight w:val="none"/>
        </w:rPr>
        <w:t>注：</w:t>
      </w:r>
    </w:p>
    <w:p>
      <w:pPr>
        <w:pStyle w:val="5"/>
        <w:spacing w:line="360" w:lineRule="auto"/>
        <w:ind w:left="0" w:leftChars="0" w:firstLine="422" w:firstLineChars="200"/>
        <w:jc w:val="left"/>
        <w:rPr>
          <w:rFonts w:hint="eastAsia"/>
          <w:b/>
          <w:bCs/>
          <w:highlight w:val="none"/>
        </w:rPr>
      </w:pPr>
      <w:r>
        <w:rPr>
          <w:rFonts w:hint="eastAsia"/>
          <w:b/>
          <w:bCs/>
          <w:highlight w:val="none"/>
        </w:rPr>
        <w:t>1.法定代表人和委托代理人必须在授权书上亲笔签名，不得使用印章、签名章、复印件或其他电子制版签名；</w:t>
      </w:r>
    </w:p>
    <w:p>
      <w:pPr>
        <w:pStyle w:val="5"/>
        <w:spacing w:line="360" w:lineRule="auto"/>
        <w:ind w:firstLine="422" w:firstLineChars="200"/>
        <w:jc w:val="left"/>
        <w:rPr>
          <w:rFonts w:hint="eastAsia"/>
          <w:highlight w:val="none"/>
        </w:rPr>
      </w:pPr>
      <w:r>
        <w:rPr>
          <w:rFonts w:hint="eastAsia"/>
          <w:b/>
          <w:bCs/>
          <w:highlight w:val="none"/>
        </w:rPr>
        <w:t>2.授权书后均应附法定代表人和委托代理人身份证复印件（盖企业公章）。</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4、营业执照</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将营业执照复印件（彩打并加盖公章）作为证明</w:t>
      </w:r>
    </w:p>
    <w:p>
      <w:pPr>
        <w:pStyle w:val="5"/>
        <w:spacing w:line="600" w:lineRule="exact"/>
        <w:ind w:firstLine="0"/>
        <w:jc w:val="center"/>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pStyle w:val="5"/>
        <w:spacing w:line="700" w:lineRule="exact"/>
        <w:ind w:firstLine="0"/>
        <w:jc w:val="center"/>
        <w:outlineLvl w:val="1"/>
        <w:rPr>
          <w:rFonts w:hint="eastAsia" w:ascii="仿宋_GB2312" w:eastAsia="仿宋_GB2312"/>
          <w:b/>
          <w:sz w:val="32"/>
          <w:szCs w:val="32"/>
          <w:highlight w:val="none"/>
        </w:rPr>
      </w:pPr>
    </w:p>
    <w:p>
      <w:pPr>
        <w:pStyle w:val="5"/>
        <w:spacing w:line="600" w:lineRule="exact"/>
        <w:ind w:firstLine="0"/>
        <w:jc w:val="both"/>
        <w:rPr>
          <w:rFonts w:hint="eastAsia" w:ascii="仿宋_GB2312" w:eastAsia="仿宋_GB2312"/>
          <w:b/>
          <w:sz w:val="30"/>
          <w:szCs w:val="30"/>
          <w:highlight w:val="none"/>
        </w:rPr>
      </w:pPr>
    </w:p>
    <w:p>
      <w:pPr>
        <w:pStyle w:val="5"/>
        <w:spacing w:line="600" w:lineRule="exact"/>
        <w:ind w:firstLine="0"/>
        <w:jc w:val="both"/>
        <w:rPr>
          <w:rFonts w:hint="eastAsia" w:ascii="仿宋_GB2312" w:eastAsia="仿宋_GB2312"/>
          <w:b/>
          <w:sz w:val="30"/>
          <w:szCs w:val="30"/>
          <w:highlight w:val="none"/>
        </w:rPr>
      </w:pPr>
    </w:p>
    <w:p>
      <w:pPr>
        <w:pStyle w:val="5"/>
        <w:spacing w:line="600" w:lineRule="exact"/>
        <w:ind w:firstLine="0"/>
        <w:jc w:val="both"/>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5.二次深化设计及说明文件</w:t>
      </w: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6.其他资料</w:t>
      </w: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信用中国查询记录截图或打印件（加盖公章）</w:t>
      </w: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注：对在“信用中国”网站（www.creditchina.gov.cn）中被列入“失信被执行人”的供应商，其申请文件将被否决。</w:t>
      </w: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spacing w:line="600" w:lineRule="exact"/>
        <w:ind w:firstLine="0"/>
        <w:rPr>
          <w:rFonts w:hint="eastAsia" w:ascii="仿宋_GB2312" w:hAnsi="宋体" w:eastAsia="仿宋_GB2312"/>
          <w:b/>
          <w:sz w:val="32"/>
          <w:szCs w:val="32"/>
          <w:highlight w:val="none"/>
        </w:rPr>
      </w:pPr>
    </w:p>
    <w:bookmarkEnd w:id="9"/>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孟荻" w:date="2022-03-11T09:37:00Z" w:initials="">
    <w:p w14:paraId="798E5DC9">
      <w:pPr>
        <w:pStyle w:val="6"/>
      </w:pPr>
      <w:r>
        <w:rPr>
          <w:rFonts w:hint="eastAsia"/>
        </w:rPr>
        <w:t>此处建议修改为“采购人收到成交人开具的正规的增值税专用发票之后，采用银行转账的方式支付给成交人。”</w:t>
      </w:r>
    </w:p>
  </w:comment>
  <w:comment w:id="1" w:author="李孟荻" w:date="2022-03-11T09:39:00Z" w:initials="">
    <w:p w14:paraId="118B119D">
      <w:pPr>
        <w:pStyle w:val="6"/>
      </w:pPr>
      <w:r>
        <w:rPr>
          <w:rFonts w:hint="eastAsia"/>
        </w:rPr>
        <w:t>此处建议补充采购人的单方合同解除权，如“逾期交工违约金累计金额超过签约合同价3%的，采购人有权单方解除合同，成交人不仅需支付违约金，给采购人造成损失的，还应承担赔偿责任”。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8E5DC9" w15:done="0"/>
  <w15:commentEx w15:paraId="118B11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5842C"/>
    <w:multiLevelType w:val="singleLevel"/>
    <w:tmpl w:val="9D75842C"/>
    <w:lvl w:ilvl="0" w:tentative="0">
      <w:start w:val="1"/>
      <w:numFmt w:val="decimal"/>
      <w:lvlText w:val="%1."/>
      <w:lvlJc w:val="left"/>
      <w:pPr>
        <w:tabs>
          <w:tab w:val="left" w:pos="312"/>
        </w:tabs>
      </w:pPr>
    </w:lvl>
  </w:abstractNum>
  <w:abstractNum w:abstractNumId="1">
    <w:nsid w:val="E9952DF8"/>
    <w:multiLevelType w:val="singleLevel"/>
    <w:tmpl w:val="E9952DF8"/>
    <w:lvl w:ilvl="0" w:tentative="0">
      <w:start w:val="1"/>
      <w:numFmt w:val="decimal"/>
      <w:suff w:val="nothing"/>
      <w:lvlText w:val="%1、"/>
      <w:lvlJc w:val="left"/>
    </w:lvl>
  </w:abstractNum>
  <w:abstractNum w:abstractNumId="2">
    <w:nsid w:val="F6128245"/>
    <w:multiLevelType w:val="singleLevel"/>
    <w:tmpl w:val="F6128245"/>
    <w:lvl w:ilvl="0" w:tentative="0">
      <w:start w:val="1"/>
      <w:numFmt w:val="decimal"/>
      <w:lvlText w:val="%1."/>
      <w:lvlJc w:val="left"/>
      <w:pPr>
        <w:tabs>
          <w:tab w:val="left" w:pos="312"/>
        </w:tabs>
      </w:pPr>
    </w:lvl>
  </w:abstractNum>
  <w:abstractNum w:abstractNumId="3">
    <w:nsid w:val="FF241995"/>
    <w:multiLevelType w:val="singleLevel"/>
    <w:tmpl w:val="FF241995"/>
    <w:lvl w:ilvl="0" w:tentative="0">
      <w:start w:val="2"/>
      <w:numFmt w:val="decimal"/>
      <w:suff w:val="nothing"/>
      <w:lvlText w:val="%1、"/>
      <w:lvlJc w:val="left"/>
    </w:lvl>
  </w:abstractNum>
  <w:abstractNum w:abstractNumId="4">
    <w:nsid w:val="3DB53220"/>
    <w:multiLevelType w:val="singleLevel"/>
    <w:tmpl w:val="3DB53220"/>
    <w:lvl w:ilvl="0" w:tentative="0">
      <w:start w:val="1"/>
      <w:numFmt w:val="decimal"/>
      <w:lvlText w:val="%1."/>
      <w:lvlJc w:val="left"/>
      <w:pPr>
        <w:tabs>
          <w:tab w:val="left" w:pos="312"/>
        </w:tabs>
      </w:pPr>
    </w:lvl>
  </w:abstractNum>
  <w:abstractNum w:abstractNumId="5">
    <w:nsid w:val="3F0AE426"/>
    <w:multiLevelType w:val="singleLevel"/>
    <w:tmpl w:val="3F0AE426"/>
    <w:lvl w:ilvl="0" w:tentative="0">
      <w:start w:val="4"/>
      <w:numFmt w:val="chineseCounting"/>
      <w:suff w:val="nothing"/>
      <w:lvlText w:val="%1、"/>
      <w:lvlJc w:val="left"/>
      <w:rPr>
        <w:rFonts w:hint="eastAsia"/>
      </w:rPr>
    </w:lvl>
  </w:abstractNum>
  <w:abstractNum w:abstractNumId="6">
    <w:nsid w:val="541DA2C7"/>
    <w:multiLevelType w:val="singleLevel"/>
    <w:tmpl w:val="541DA2C7"/>
    <w:lvl w:ilvl="0" w:tentative="0">
      <w:start w:val="5"/>
      <w:numFmt w:val="chineseCounting"/>
      <w:suff w:val="nothing"/>
      <w:lvlText w:val="%1、"/>
      <w:lvlJc w:val="left"/>
      <w:rPr>
        <w:rFonts w:hint="eastAsia"/>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孟荻">
    <w15:presenceInfo w15:providerId="None" w15:userId="李孟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43EC0"/>
    <w:rsid w:val="00070249"/>
    <w:rsid w:val="00071610"/>
    <w:rsid w:val="00086720"/>
    <w:rsid w:val="00086A59"/>
    <w:rsid w:val="000B0E9F"/>
    <w:rsid w:val="000D3159"/>
    <w:rsid w:val="000F4DA2"/>
    <w:rsid w:val="000F7537"/>
    <w:rsid w:val="00114237"/>
    <w:rsid w:val="0014215D"/>
    <w:rsid w:val="00155323"/>
    <w:rsid w:val="001A0AAC"/>
    <w:rsid w:val="001A4453"/>
    <w:rsid w:val="001E2D6D"/>
    <w:rsid w:val="0022415E"/>
    <w:rsid w:val="00225105"/>
    <w:rsid w:val="002274DF"/>
    <w:rsid w:val="00235213"/>
    <w:rsid w:val="00276290"/>
    <w:rsid w:val="00294D2B"/>
    <w:rsid w:val="002D4F17"/>
    <w:rsid w:val="002E176E"/>
    <w:rsid w:val="002E30DF"/>
    <w:rsid w:val="002F6CED"/>
    <w:rsid w:val="0031516D"/>
    <w:rsid w:val="003158F5"/>
    <w:rsid w:val="003477C0"/>
    <w:rsid w:val="00360635"/>
    <w:rsid w:val="00397576"/>
    <w:rsid w:val="003A45C5"/>
    <w:rsid w:val="003B7312"/>
    <w:rsid w:val="003D46D9"/>
    <w:rsid w:val="00416A82"/>
    <w:rsid w:val="0042152E"/>
    <w:rsid w:val="004267C7"/>
    <w:rsid w:val="004306D2"/>
    <w:rsid w:val="00442A20"/>
    <w:rsid w:val="00443CBB"/>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4101E"/>
    <w:rsid w:val="006512F7"/>
    <w:rsid w:val="006702AB"/>
    <w:rsid w:val="00690AA8"/>
    <w:rsid w:val="00693DE9"/>
    <w:rsid w:val="006B537C"/>
    <w:rsid w:val="006C61DB"/>
    <w:rsid w:val="006C769A"/>
    <w:rsid w:val="006E67D6"/>
    <w:rsid w:val="0072190F"/>
    <w:rsid w:val="0074544D"/>
    <w:rsid w:val="00776327"/>
    <w:rsid w:val="007A0408"/>
    <w:rsid w:val="007B4256"/>
    <w:rsid w:val="007C4C9C"/>
    <w:rsid w:val="007D2B98"/>
    <w:rsid w:val="007D4091"/>
    <w:rsid w:val="007E0E9E"/>
    <w:rsid w:val="00801F6D"/>
    <w:rsid w:val="00825283"/>
    <w:rsid w:val="00827610"/>
    <w:rsid w:val="00891E30"/>
    <w:rsid w:val="00893EB1"/>
    <w:rsid w:val="008A22F1"/>
    <w:rsid w:val="008D2EB6"/>
    <w:rsid w:val="00914F2F"/>
    <w:rsid w:val="0091739B"/>
    <w:rsid w:val="00920E0A"/>
    <w:rsid w:val="00953F5A"/>
    <w:rsid w:val="0096749D"/>
    <w:rsid w:val="009879B3"/>
    <w:rsid w:val="009E0B4C"/>
    <w:rsid w:val="00A0408D"/>
    <w:rsid w:val="00A048D2"/>
    <w:rsid w:val="00A239AF"/>
    <w:rsid w:val="00A332FB"/>
    <w:rsid w:val="00A64D93"/>
    <w:rsid w:val="00AC61EC"/>
    <w:rsid w:val="00AD712B"/>
    <w:rsid w:val="00AF2F90"/>
    <w:rsid w:val="00B16A94"/>
    <w:rsid w:val="00B23A8B"/>
    <w:rsid w:val="00B43A11"/>
    <w:rsid w:val="00B47A55"/>
    <w:rsid w:val="00B5080A"/>
    <w:rsid w:val="00B725B0"/>
    <w:rsid w:val="00B87DC4"/>
    <w:rsid w:val="00BD049D"/>
    <w:rsid w:val="00C45D29"/>
    <w:rsid w:val="00C658A4"/>
    <w:rsid w:val="00C9346B"/>
    <w:rsid w:val="00CD0F45"/>
    <w:rsid w:val="00CD1BA4"/>
    <w:rsid w:val="00CF38FC"/>
    <w:rsid w:val="00D55287"/>
    <w:rsid w:val="00D575BC"/>
    <w:rsid w:val="00D8442D"/>
    <w:rsid w:val="00D943B8"/>
    <w:rsid w:val="00DA1D01"/>
    <w:rsid w:val="00DD1796"/>
    <w:rsid w:val="00DD3ED6"/>
    <w:rsid w:val="00E02DA9"/>
    <w:rsid w:val="00E30375"/>
    <w:rsid w:val="00E52F1A"/>
    <w:rsid w:val="00E56FD9"/>
    <w:rsid w:val="00E62218"/>
    <w:rsid w:val="00E97311"/>
    <w:rsid w:val="00EB389D"/>
    <w:rsid w:val="00EB77E1"/>
    <w:rsid w:val="00EC4C23"/>
    <w:rsid w:val="00EE0430"/>
    <w:rsid w:val="00EE2BB1"/>
    <w:rsid w:val="00F03087"/>
    <w:rsid w:val="00F03BD4"/>
    <w:rsid w:val="00F04071"/>
    <w:rsid w:val="00FA691E"/>
    <w:rsid w:val="00FB6479"/>
    <w:rsid w:val="01107146"/>
    <w:rsid w:val="014D56AE"/>
    <w:rsid w:val="015846B4"/>
    <w:rsid w:val="016C0F02"/>
    <w:rsid w:val="01853E11"/>
    <w:rsid w:val="01A51F4F"/>
    <w:rsid w:val="01C330A6"/>
    <w:rsid w:val="01D603CB"/>
    <w:rsid w:val="02B86242"/>
    <w:rsid w:val="033D767D"/>
    <w:rsid w:val="03471D59"/>
    <w:rsid w:val="035F4E16"/>
    <w:rsid w:val="03A06E4A"/>
    <w:rsid w:val="04157AE7"/>
    <w:rsid w:val="047B5B29"/>
    <w:rsid w:val="05A607FA"/>
    <w:rsid w:val="05BC4BB2"/>
    <w:rsid w:val="066A231B"/>
    <w:rsid w:val="06D116AD"/>
    <w:rsid w:val="07C372B0"/>
    <w:rsid w:val="08075635"/>
    <w:rsid w:val="087607EC"/>
    <w:rsid w:val="08B35707"/>
    <w:rsid w:val="09274FDA"/>
    <w:rsid w:val="092917FE"/>
    <w:rsid w:val="09396BBE"/>
    <w:rsid w:val="094259E1"/>
    <w:rsid w:val="09763D3D"/>
    <w:rsid w:val="09CD2A0B"/>
    <w:rsid w:val="0A802455"/>
    <w:rsid w:val="0ADC2637"/>
    <w:rsid w:val="0B01008D"/>
    <w:rsid w:val="0B132C7D"/>
    <w:rsid w:val="0D2A4696"/>
    <w:rsid w:val="0E6A1AAE"/>
    <w:rsid w:val="0E83790E"/>
    <w:rsid w:val="0ED00C08"/>
    <w:rsid w:val="0F1848EF"/>
    <w:rsid w:val="0F8E05FB"/>
    <w:rsid w:val="108B4FBD"/>
    <w:rsid w:val="10CB59DE"/>
    <w:rsid w:val="10DE05C4"/>
    <w:rsid w:val="12A25A6E"/>
    <w:rsid w:val="134654C7"/>
    <w:rsid w:val="13B669BA"/>
    <w:rsid w:val="13D66E12"/>
    <w:rsid w:val="1437597B"/>
    <w:rsid w:val="147F4B70"/>
    <w:rsid w:val="154D731E"/>
    <w:rsid w:val="159F0454"/>
    <w:rsid w:val="15DE1EC2"/>
    <w:rsid w:val="15E60D74"/>
    <w:rsid w:val="167B74ED"/>
    <w:rsid w:val="16955FFB"/>
    <w:rsid w:val="17285268"/>
    <w:rsid w:val="174F511B"/>
    <w:rsid w:val="17821D60"/>
    <w:rsid w:val="178E17D0"/>
    <w:rsid w:val="186770D6"/>
    <w:rsid w:val="189D4EA1"/>
    <w:rsid w:val="18EC7B5E"/>
    <w:rsid w:val="18F42E69"/>
    <w:rsid w:val="19230CA9"/>
    <w:rsid w:val="196C7223"/>
    <w:rsid w:val="19994397"/>
    <w:rsid w:val="1A7C7C3D"/>
    <w:rsid w:val="1AF40507"/>
    <w:rsid w:val="1B2733AE"/>
    <w:rsid w:val="1B774426"/>
    <w:rsid w:val="1B830500"/>
    <w:rsid w:val="1BAA6025"/>
    <w:rsid w:val="1C1D5137"/>
    <w:rsid w:val="1C2E2C69"/>
    <w:rsid w:val="1C3F7586"/>
    <w:rsid w:val="1D49331C"/>
    <w:rsid w:val="1E56367F"/>
    <w:rsid w:val="1EA77EC3"/>
    <w:rsid w:val="1F0B1A70"/>
    <w:rsid w:val="1F4B03E7"/>
    <w:rsid w:val="1FA31918"/>
    <w:rsid w:val="1FEE3617"/>
    <w:rsid w:val="20DC4649"/>
    <w:rsid w:val="20FF6B0C"/>
    <w:rsid w:val="21060EB6"/>
    <w:rsid w:val="21607B96"/>
    <w:rsid w:val="21BB0AB3"/>
    <w:rsid w:val="21C50DFA"/>
    <w:rsid w:val="21E312FF"/>
    <w:rsid w:val="22171313"/>
    <w:rsid w:val="22727E47"/>
    <w:rsid w:val="22927209"/>
    <w:rsid w:val="23243FBD"/>
    <w:rsid w:val="232A50E3"/>
    <w:rsid w:val="233E28EF"/>
    <w:rsid w:val="2369313B"/>
    <w:rsid w:val="23A9060C"/>
    <w:rsid w:val="23C059FD"/>
    <w:rsid w:val="23D55530"/>
    <w:rsid w:val="253E42CC"/>
    <w:rsid w:val="25415A40"/>
    <w:rsid w:val="2551598C"/>
    <w:rsid w:val="259A07AD"/>
    <w:rsid w:val="25C96FD7"/>
    <w:rsid w:val="25D050CF"/>
    <w:rsid w:val="25F52A64"/>
    <w:rsid w:val="265177D4"/>
    <w:rsid w:val="26721375"/>
    <w:rsid w:val="26726012"/>
    <w:rsid w:val="26E1181E"/>
    <w:rsid w:val="27016DC1"/>
    <w:rsid w:val="27054342"/>
    <w:rsid w:val="27F35F7B"/>
    <w:rsid w:val="28060F58"/>
    <w:rsid w:val="289C06A1"/>
    <w:rsid w:val="289D3DD5"/>
    <w:rsid w:val="28E1656D"/>
    <w:rsid w:val="29B47B03"/>
    <w:rsid w:val="29C10E39"/>
    <w:rsid w:val="2A4239F7"/>
    <w:rsid w:val="2B9F0A9D"/>
    <w:rsid w:val="2C48309E"/>
    <w:rsid w:val="2C5E2B14"/>
    <w:rsid w:val="2CB05D83"/>
    <w:rsid w:val="2CC0612A"/>
    <w:rsid w:val="2CCF1299"/>
    <w:rsid w:val="2DB6773D"/>
    <w:rsid w:val="2EA26FFA"/>
    <w:rsid w:val="2ED51080"/>
    <w:rsid w:val="2EE240CA"/>
    <w:rsid w:val="2F19361A"/>
    <w:rsid w:val="2F421F66"/>
    <w:rsid w:val="2F677480"/>
    <w:rsid w:val="2FBE100E"/>
    <w:rsid w:val="2FEE2A84"/>
    <w:rsid w:val="309A0B93"/>
    <w:rsid w:val="30B67C18"/>
    <w:rsid w:val="30BA7500"/>
    <w:rsid w:val="30D44F69"/>
    <w:rsid w:val="320D3D53"/>
    <w:rsid w:val="32D30162"/>
    <w:rsid w:val="32D34FDE"/>
    <w:rsid w:val="33FF768C"/>
    <w:rsid w:val="340E1A1A"/>
    <w:rsid w:val="347A299D"/>
    <w:rsid w:val="34E64CF1"/>
    <w:rsid w:val="35040A42"/>
    <w:rsid w:val="35137593"/>
    <w:rsid w:val="356F3979"/>
    <w:rsid w:val="36643018"/>
    <w:rsid w:val="36731EFF"/>
    <w:rsid w:val="36B078B6"/>
    <w:rsid w:val="36C070BE"/>
    <w:rsid w:val="376722CE"/>
    <w:rsid w:val="378D2EEE"/>
    <w:rsid w:val="3798733E"/>
    <w:rsid w:val="37EF3B57"/>
    <w:rsid w:val="38C831FE"/>
    <w:rsid w:val="390206F4"/>
    <w:rsid w:val="39027D53"/>
    <w:rsid w:val="39127E87"/>
    <w:rsid w:val="39314CC7"/>
    <w:rsid w:val="39322E69"/>
    <w:rsid w:val="39B45B8F"/>
    <w:rsid w:val="3B1677E2"/>
    <w:rsid w:val="3B2768FC"/>
    <w:rsid w:val="3C63158A"/>
    <w:rsid w:val="3D6627BD"/>
    <w:rsid w:val="3D700B47"/>
    <w:rsid w:val="3DA91D24"/>
    <w:rsid w:val="3E782E72"/>
    <w:rsid w:val="3E7C640C"/>
    <w:rsid w:val="3EBC74B6"/>
    <w:rsid w:val="3F201494"/>
    <w:rsid w:val="40D20D91"/>
    <w:rsid w:val="41A94782"/>
    <w:rsid w:val="41E80F9D"/>
    <w:rsid w:val="42714483"/>
    <w:rsid w:val="43337D30"/>
    <w:rsid w:val="43DA1517"/>
    <w:rsid w:val="45856D2B"/>
    <w:rsid w:val="458C3636"/>
    <w:rsid w:val="45EE0FB3"/>
    <w:rsid w:val="4612770C"/>
    <w:rsid w:val="46746F5B"/>
    <w:rsid w:val="46D87964"/>
    <w:rsid w:val="474E0FE2"/>
    <w:rsid w:val="477E3CBD"/>
    <w:rsid w:val="479D15E5"/>
    <w:rsid w:val="48017F2B"/>
    <w:rsid w:val="48561630"/>
    <w:rsid w:val="48F81E6C"/>
    <w:rsid w:val="492179E6"/>
    <w:rsid w:val="492612C5"/>
    <w:rsid w:val="496613D2"/>
    <w:rsid w:val="4AE223BF"/>
    <w:rsid w:val="4B223D92"/>
    <w:rsid w:val="4B6550A2"/>
    <w:rsid w:val="4C233734"/>
    <w:rsid w:val="4C310D5F"/>
    <w:rsid w:val="4C7F2E52"/>
    <w:rsid w:val="4DD41379"/>
    <w:rsid w:val="4DE620CD"/>
    <w:rsid w:val="4E287D72"/>
    <w:rsid w:val="4E5445BD"/>
    <w:rsid w:val="4E873E4C"/>
    <w:rsid w:val="4F3F5FA4"/>
    <w:rsid w:val="4F976DD1"/>
    <w:rsid w:val="50437C24"/>
    <w:rsid w:val="509D023B"/>
    <w:rsid w:val="50FE69D7"/>
    <w:rsid w:val="51120AB8"/>
    <w:rsid w:val="511E4CB5"/>
    <w:rsid w:val="516B1CDD"/>
    <w:rsid w:val="51952C61"/>
    <w:rsid w:val="519B0AAD"/>
    <w:rsid w:val="51D36387"/>
    <w:rsid w:val="524A0F05"/>
    <w:rsid w:val="525E7E62"/>
    <w:rsid w:val="52C85AD9"/>
    <w:rsid w:val="53575DA4"/>
    <w:rsid w:val="53A64715"/>
    <w:rsid w:val="53E55E8D"/>
    <w:rsid w:val="54436F0C"/>
    <w:rsid w:val="552E274B"/>
    <w:rsid w:val="558C7F01"/>
    <w:rsid w:val="55CD4686"/>
    <w:rsid w:val="56335818"/>
    <w:rsid w:val="568A60F9"/>
    <w:rsid w:val="56E22F78"/>
    <w:rsid w:val="56EB21BE"/>
    <w:rsid w:val="56FE6458"/>
    <w:rsid w:val="5747756B"/>
    <w:rsid w:val="577757F8"/>
    <w:rsid w:val="579A2C0D"/>
    <w:rsid w:val="57C2687A"/>
    <w:rsid w:val="58024CC0"/>
    <w:rsid w:val="5870198E"/>
    <w:rsid w:val="587D4DB6"/>
    <w:rsid w:val="58D77CEB"/>
    <w:rsid w:val="596A5D1B"/>
    <w:rsid w:val="59D83ED9"/>
    <w:rsid w:val="5AA16323"/>
    <w:rsid w:val="5B084EB9"/>
    <w:rsid w:val="5B544A3D"/>
    <w:rsid w:val="5D501CEE"/>
    <w:rsid w:val="5DE01347"/>
    <w:rsid w:val="5E365973"/>
    <w:rsid w:val="5ED24FB8"/>
    <w:rsid w:val="5ED60BC0"/>
    <w:rsid w:val="5F005B80"/>
    <w:rsid w:val="5F4C10D1"/>
    <w:rsid w:val="5F5B68F1"/>
    <w:rsid w:val="5FA77D73"/>
    <w:rsid w:val="607834F5"/>
    <w:rsid w:val="60AF7DA6"/>
    <w:rsid w:val="60E37980"/>
    <w:rsid w:val="60FD1536"/>
    <w:rsid w:val="611347DE"/>
    <w:rsid w:val="61C92653"/>
    <w:rsid w:val="61EB54FF"/>
    <w:rsid w:val="62916D9A"/>
    <w:rsid w:val="63A01235"/>
    <w:rsid w:val="63B61CA6"/>
    <w:rsid w:val="642D51BD"/>
    <w:rsid w:val="645A66BA"/>
    <w:rsid w:val="64881D02"/>
    <w:rsid w:val="64954634"/>
    <w:rsid w:val="64A04CAF"/>
    <w:rsid w:val="64C87B18"/>
    <w:rsid w:val="654F34A0"/>
    <w:rsid w:val="656840A4"/>
    <w:rsid w:val="65B4267A"/>
    <w:rsid w:val="66330F55"/>
    <w:rsid w:val="66643A42"/>
    <w:rsid w:val="67125B51"/>
    <w:rsid w:val="674E05C4"/>
    <w:rsid w:val="6784772C"/>
    <w:rsid w:val="68853A70"/>
    <w:rsid w:val="6893632F"/>
    <w:rsid w:val="68CB1480"/>
    <w:rsid w:val="69664D2A"/>
    <w:rsid w:val="69CB7E13"/>
    <w:rsid w:val="69E56C4B"/>
    <w:rsid w:val="6A944CAE"/>
    <w:rsid w:val="6ABF1D39"/>
    <w:rsid w:val="6B1B4122"/>
    <w:rsid w:val="6BB93AB4"/>
    <w:rsid w:val="6C233B04"/>
    <w:rsid w:val="6C454E91"/>
    <w:rsid w:val="6C71534C"/>
    <w:rsid w:val="6C934B33"/>
    <w:rsid w:val="6CE53FF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4C7AF1"/>
    <w:rsid w:val="72055D09"/>
    <w:rsid w:val="7251239D"/>
    <w:rsid w:val="731514EB"/>
    <w:rsid w:val="733E263C"/>
    <w:rsid w:val="74320689"/>
    <w:rsid w:val="74444B19"/>
    <w:rsid w:val="744C59D1"/>
    <w:rsid w:val="744D69AF"/>
    <w:rsid w:val="74A4656A"/>
    <w:rsid w:val="74EE65C9"/>
    <w:rsid w:val="75564116"/>
    <w:rsid w:val="75B86217"/>
    <w:rsid w:val="75DC63C3"/>
    <w:rsid w:val="76726D86"/>
    <w:rsid w:val="769D12C3"/>
    <w:rsid w:val="77477C96"/>
    <w:rsid w:val="77562B8F"/>
    <w:rsid w:val="777A6523"/>
    <w:rsid w:val="77997712"/>
    <w:rsid w:val="77BB72DA"/>
    <w:rsid w:val="77C20FE1"/>
    <w:rsid w:val="78363656"/>
    <w:rsid w:val="78917090"/>
    <w:rsid w:val="79256FE8"/>
    <w:rsid w:val="79D17E7C"/>
    <w:rsid w:val="7A774F04"/>
    <w:rsid w:val="7ACE604F"/>
    <w:rsid w:val="7AE07E5B"/>
    <w:rsid w:val="7AE66FC1"/>
    <w:rsid w:val="7BDD6401"/>
    <w:rsid w:val="7CB03177"/>
    <w:rsid w:val="7D02645C"/>
    <w:rsid w:val="7D8D66B2"/>
    <w:rsid w:val="7D915011"/>
    <w:rsid w:val="7DFC5924"/>
    <w:rsid w:val="7E1E2FAB"/>
    <w:rsid w:val="7F1818DF"/>
    <w:rsid w:val="7F4448A8"/>
    <w:rsid w:val="7FA32067"/>
    <w:rsid w:val="7FCF4C53"/>
    <w:rsid w:val="7FFF7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annotation text"/>
    <w:basedOn w:val="1"/>
    <w:link w:val="20"/>
    <w:qFormat/>
    <w:uiPriority w:val="0"/>
    <w:pPr>
      <w:jc w:val="left"/>
    </w:pPr>
  </w:style>
  <w:style w:type="paragraph" w:styleId="7">
    <w:name w:val="Plain Text"/>
    <w:basedOn w:val="1"/>
    <w:qFormat/>
    <w:uiPriority w:val="0"/>
    <w:rPr>
      <w:rFonts w:ascii="宋体" w:hAnsi="Courier New"/>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jc w:val="left"/>
    </w:pPr>
    <w:rPr>
      <w:rFonts w:ascii="宋体" w:hAnsi="宋体" w:cs="宋体"/>
      <w:kern w:val="0"/>
      <w:sz w:val="24"/>
    </w:rPr>
  </w:style>
  <w:style w:type="paragraph" w:styleId="13">
    <w:name w:val="index 1"/>
    <w:basedOn w:val="1"/>
    <w:next w:val="1"/>
    <w:qFormat/>
    <w:uiPriority w:val="0"/>
  </w:style>
  <w:style w:type="paragraph" w:styleId="14">
    <w:name w:val="annotation subject"/>
    <w:basedOn w:val="6"/>
    <w:next w:val="6"/>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6"/>
    <w:qFormat/>
    <w:uiPriority w:val="0"/>
    <w:rPr>
      <w:kern w:val="2"/>
      <w:sz w:val="21"/>
      <w:szCs w:val="24"/>
    </w:rPr>
  </w:style>
  <w:style w:type="character" w:customStyle="1" w:styleId="21">
    <w:name w:val="批注框文本 字符"/>
    <w:link w:val="9"/>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41"/>
    <w:qFormat/>
    <w:uiPriority w:val="0"/>
    <w:rPr>
      <w:rFonts w:hint="eastAsia" w:ascii="宋体" w:hAnsi="宋体" w:eastAsia="宋体" w:cs="宋体"/>
      <w:color w:val="000000"/>
      <w:sz w:val="22"/>
      <w:szCs w:val="22"/>
      <w:u w:val="none"/>
    </w:rPr>
  </w:style>
  <w:style w:type="character" w:customStyle="1" w:styleId="24">
    <w:name w:val="font21"/>
    <w:qFormat/>
    <w:uiPriority w:val="0"/>
    <w:rPr>
      <w:rFonts w:hint="eastAsia" w:ascii="宋体" w:hAnsi="宋体" w:eastAsia="宋体" w:cs="宋体"/>
      <w:color w:val="000000"/>
      <w:sz w:val="18"/>
      <w:szCs w:val="18"/>
      <w:u w:val="none"/>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font11"/>
    <w:qFormat/>
    <w:uiPriority w:val="0"/>
    <w:rPr>
      <w:rFonts w:hint="eastAsia" w:ascii="宋体" w:hAnsi="宋体" w:eastAsia="宋体" w:cs="宋体"/>
      <w:color w:val="000000"/>
      <w:sz w:val="22"/>
      <w:szCs w:val="22"/>
      <w:u w:val="none"/>
    </w:rPr>
  </w:style>
  <w:style w:type="paragraph" w:customStyle="1" w:styleId="27">
    <w:name w:val=" Char Char9"/>
    <w:basedOn w:val="1"/>
    <w:qFormat/>
    <w:uiPriority w:val="0"/>
    <w:rPr>
      <w:rFonts w:ascii="Calibri" w:hAnsi="Calibri"/>
    </w:rPr>
  </w:style>
  <w:style w:type="paragraph" w:customStyle="1" w:styleId="28">
    <w:name w:val="纯文本 Char"/>
    <w:basedOn w:val="1"/>
    <w:next w:val="7"/>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styleId="31">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15052</Words>
  <Characters>15635</Characters>
  <Lines>167</Lines>
  <Paragraphs>47</Paragraphs>
  <TotalTime>83</TotalTime>
  <ScaleCrop>false</ScaleCrop>
  <LinksUpToDate>false</LinksUpToDate>
  <CharactersWithSpaces>17314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2021-11-10T03:05:00Z</cp:lastPrinted>
  <dcterms:modified xsi:type="dcterms:W3CDTF">2022-07-04T02:17:37Z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76310668DAFB4D11AE9ABEC7B627451F</vt:lpwstr>
  </property>
</Properties>
</file>